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关于南芬区“十四五”规划纲要中期调整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的起草说明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《规划纲要》调整背景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是实施“十四五”规划纲要承前启后的关键一年，作为规划实施的法定程序和关键环节，开展规划纲要中期调整意义重大。深入剖析实施中出现的问题及原因，结合国内外发展环境变化，对规划纲要提出阶段性修改意见，持续推动规划纲要各项目标任务顺利实施，从而推进“十四五”规划纲要的顺利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《规划纲要》调整情况的说明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《规划纲要》调整总的把握五条：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一是突出主题主线。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坚持以习近平新时代中国特色社会主义思想为指导，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贯彻落实党的二十大的新部署新任务。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二是坚持服务大局。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找准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南芬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在全市发展大局中的坐标、方位和发力点。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三是坚持问题导向。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立足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南芬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爬坡过坎、转型升级的阶段性特征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坚持“三化”，即项目化落实、工程化落实、清单化管理，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把风险挑战分析透，把应对之策谋划好。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四是坚持突出重点。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明确需要集中突破的领域，谋划部署一批有前瞻性、带动性的重大任务、项目、举措。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五是注重协调对接。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做好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《规划纲要》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调整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的有效衔接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“十四五”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《规划纲要》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上下联动、左右协同。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项目推进情况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新增添能源类项目，由五大类项目调整为六大类。项目数由192个增长到200个。经过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两年半的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努力，累计实施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个项目，总投资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225.2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亿元。其中：农业类共实施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个项目，总投资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亿元。工业类共实施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个项目，总投资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127.48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亿元。服务业类共实施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个项目，总投资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50.77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亿元。公共服务类共实施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个项目，总投资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亿元。基础设施类共实施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个项目，总投资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亿元。新能源类共实施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个项目，总投资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8.93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亿元。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2020-2022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年实施“十四五”项目情况表</w:t>
      </w:r>
    </w:p>
    <w:tbl>
      <w:tblPr>
        <w:tblStyle w:val="10"/>
        <w:tblpPr w:leftFromText="180" w:rightFromText="180" w:vertAnchor="text" w:horzAnchor="page" w:tblpX="1980" w:tblpY="3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665"/>
        <w:gridCol w:w="2051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项目个数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实施个数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投资金额（亿元）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农业类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工业类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76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服务业类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公共服务类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基础设施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新能源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总计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200</w:t>
            </w:r>
          </w:p>
        </w:tc>
        <w:tc>
          <w:tcPr>
            <w:tcW w:w="20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140</w:t>
            </w: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225.2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四、规划调整的整体思路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新增添新能源章节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根据党的二十大精神，在我区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《规划纲要》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增添“新能源”章节。要大力扶持发展新能源产业，不断引入风电光伏储能企业，积极促进新能源企业项目建设。同时推动新能源技术应用普及，加快推广新能源技术应用，搭建工业园区智慧能源管理平台，推动新能源交通工具和充电服务设施普及应用。党的二十大报告提出“积极稳妥推进碳达峰碳中和”，为积极落实党的二十大精神，在新能源章节添加发展绿色低碳和节能降耗章节，结合我区实际，积极稳妥推进碳达峰碳中和，加快推动绿色低碳发展，大力推广绿色建材技术，实现产业绿色升级。推动能源节约利用，控制能源消费总量，加强节能降耗，支持节能低碳产业和新能源、可再生能源发展。新添加6个新能源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目标调整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除原制定的主要指标体系外，此次调整还对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《规划纲要》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中一些具体指标提出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年预计完成目标，这些目标均与三年行动实施方案中计划完成目标一致。</w:t>
      </w:r>
    </w:p>
    <w:p>
      <w:pPr>
        <w:pStyle w:val="6"/>
        <w:jc w:val="righ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jc w:val="righ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jc w:val="righ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南芬区发展和改革局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            </w:t>
      </w:r>
    </w:p>
    <w:p>
      <w:pPr>
        <w:pStyle w:val="6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pStyle w:val="5"/>
        <w:ind w:left="0" w:leftChars="0" w:firstLine="0" w:firstLineChars="0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zI1ZDhkYmNlNzc1OTc5MzE4MGJhZTg1NWUzNzMifQ=="/>
  </w:docVars>
  <w:rsids>
    <w:rsidRoot w:val="00000000"/>
    <w:rsid w:val="015C43C9"/>
    <w:rsid w:val="4B24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140" w:beforeAutospacing="0" w:after="140" w:afterAutospacing="0" w:line="240" w:lineRule="auto"/>
      <w:ind w:firstLine="883" w:firstLineChars="200"/>
      <w:outlineLvl w:val="2"/>
    </w:pPr>
    <w:rPr>
      <w:rFonts w:ascii="Calibri" w:hAnsi="Calibri" w:eastAsia="楷体"/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customStyle="1" w:styleId="3">
    <w:name w:val="一级条标题"/>
    <w:basedOn w:val="4"/>
    <w:next w:val="5"/>
    <w:qFormat/>
    <w:uiPriority w:val="0"/>
    <w:pPr>
      <w:outlineLvl w:val="2"/>
    </w:pPr>
    <w:rPr>
      <w:rFonts w:ascii="Times New Roman"/>
    </w:rPr>
  </w:style>
  <w:style w:type="paragraph" w:customStyle="1" w:styleId="4">
    <w:name w:val="章标题"/>
    <w:next w:val="1"/>
    <w:qFormat/>
    <w:uiPriority w:val="0"/>
    <w:pPr>
      <w:spacing w:beforeLines="50" w:afterLines="50"/>
      <w:ind w:left="454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1120</Words>
  <Characters>1210</Characters>
  <Paragraphs>66</Paragraphs>
  <TotalTime>36</TotalTime>
  <ScaleCrop>false</ScaleCrop>
  <LinksUpToDate>false</LinksUpToDate>
  <CharactersWithSpaces>1226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2022-11-21T02:00:00Z</dcterms:created>
  <dc:creator>two</dc:creator>
  <cp:lastModifiedBy>Administrator</cp:lastModifiedBy>
  <cp:lastPrinted>2023-08-29T06:06:00Z</cp:lastPrinted>
  <dcterms:modified xsi:type="dcterms:W3CDTF">2023-09-12T04:09:36Z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132FB857FF5B497A9B3863E7296BDDB7_13</vt:lpwstr>
  </property>
</Properties>
</file>