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0BE7B">
      <w:pPr>
        <w:ind w:firstLine="560"/>
        <w:jc w:val="center"/>
        <w:rPr>
          <w:color w:val="auto"/>
          <w:highlight w:val="none"/>
        </w:rPr>
      </w:pPr>
      <w:bookmarkStart w:id="53" w:name="_GoBack"/>
      <w:bookmarkEnd w:id="53"/>
    </w:p>
    <w:p w14:paraId="6EAB935F">
      <w:pPr>
        <w:ind w:firstLine="560"/>
        <w:jc w:val="center"/>
        <w:rPr>
          <w:color w:val="auto"/>
          <w:highlight w:val="none"/>
        </w:rPr>
      </w:pPr>
    </w:p>
    <w:p w14:paraId="43C099F3">
      <w:pPr>
        <w:ind w:firstLine="560"/>
        <w:jc w:val="center"/>
        <w:rPr>
          <w:color w:val="auto"/>
          <w:highlight w:val="none"/>
        </w:rPr>
      </w:pPr>
    </w:p>
    <w:p w14:paraId="7D798A4E">
      <w:pPr>
        <w:ind w:firstLine="0" w:firstLineChars="0"/>
        <w:jc w:val="center"/>
        <w:rPr>
          <w:rFonts w:ascii="黑体" w:hAnsi="黑体" w:eastAsia="黑体"/>
          <w:color w:val="auto"/>
          <w:sz w:val="52"/>
          <w:szCs w:val="52"/>
          <w:highlight w:val="none"/>
        </w:rPr>
      </w:pPr>
      <w:r>
        <w:rPr>
          <w:rFonts w:ascii="黑体" w:hAnsi="黑体" w:eastAsia="黑体"/>
          <w:color w:val="auto"/>
          <w:sz w:val="52"/>
          <w:szCs w:val="52"/>
          <w:highlight w:val="none"/>
        </w:rPr>
        <w:t>南芬区国民经济和社会发展</w:t>
      </w:r>
    </w:p>
    <w:p w14:paraId="4EC80865">
      <w:pPr>
        <w:ind w:firstLine="0" w:firstLineChars="0"/>
        <w:jc w:val="center"/>
        <w:rPr>
          <w:rFonts w:ascii="黑体" w:hAnsi="黑体" w:eastAsia="黑体"/>
          <w:color w:val="auto"/>
          <w:sz w:val="52"/>
          <w:szCs w:val="52"/>
          <w:highlight w:val="none"/>
        </w:rPr>
      </w:pPr>
      <w:r>
        <w:rPr>
          <w:rFonts w:ascii="黑体" w:hAnsi="黑体" w:eastAsia="黑体"/>
          <w:color w:val="auto"/>
          <w:sz w:val="52"/>
          <w:szCs w:val="52"/>
          <w:highlight w:val="none"/>
        </w:rPr>
        <w:t>第十四个五年规划纲要</w:t>
      </w:r>
    </w:p>
    <w:p w14:paraId="4A365482">
      <w:pPr>
        <w:ind w:firstLine="0" w:firstLineChars="0"/>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（中期调整</w:t>
      </w:r>
      <w:r>
        <w:rPr>
          <w:rFonts w:hint="eastAsia" w:ascii="黑体" w:hAnsi="黑体" w:eastAsia="黑体"/>
          <w:color w:val="auto"/>
          <w:sz w:val="52"/>
          <w:szCs w:val="52"/>
          <w:highlight w:val="none"/>
          <w:lang w:eastAsia="zh-CN"/>
        </w:rPr>
        <w:t>征求意见</w:t>
      </w:r>
      <w:r>
        <w:rPr>
          <w:rFonts w:hint="eastAsia" w:ascii="黑体" w:hAnsi="黑体" w:eastAsia="黑体"/>
          <w:color w:val="auto"/>
          <w:sz w:val="52"/>
          <w:szCs w:val="52"/>
          <w:highlight w:val="none"/>
        </w:rPr>
        <w:t>稿）</w:t>
      </w:r>
    </w:p>
    <w:p w14:paraId="38C2C7EA">
      <w:pPr>
        <w:ind w:firstLine="560"/>
        <w:jc w:val="center"/>
        <w:rPr>
          <w:color w:val="auto"/>
          <w:highlight w:val="none"/>
        </w:rPr>
      </w:pPr>
    </w:p>
    <w:p w14:paraId="1A4C0A44">
      <w:pPr>
        <w:ind w:firstLine="560"/>
        <w:jc w:val="center"/>
        <w:rPr>
          <w:color w:val="auto"/>
          <w:highlight w:val="none"/>
        </w:rPr>
      </w:pPr>
    </w:p>
    <w:p w14:paraId="11B3E9F2">
      <w:pPr>
        <w:ind w:firstLine="560"/>
        <w:jc w:val="center"/>
        <w:rPr>
          <w:color w:val="auto"/>
          <w:highlight w:val="none"/>
        </w:rPr>
      </w:pPr>
    </w:p>
    <w:p w14:paraId="15B864FE">
      <w:pPr>
        <w:ind w:firstLine="560"/>
        <w:jc w:val="center"/>
        <w:rPr>
          <w:color w:val="auto"/>
          <w:highlight w:val="none"/>
        </w:rPr>
      </w:pPr>
    </w:p>
    <w:p w14:paraId="3AA24B95">
      <w:pPr>
        <w:ind w:firstLine="560"/>
        <w:jc w:val="center"/>
        <w:rPr>
          <w:color w:val="auto"/>
          <w:highlight w:val="none"/>
        </w:rPr>
      </w:pPr>
    </w:p>
    <w:p w14:paraId="13431DD2">
      <w:pPr>
        <w:ind w:firstLine="560"/>
        <w:jc w:val="center"/>
        <w:rPr>
          <w:color w:val="auto"/>
          <w:highlight w:val="none"/>
        </w:rPr>
      </w:pPr>
    </w:p>
    <w:p w14:paraId="18AACFC1">
      <w:pPr>
        <w:ind w:firstLine="560"/>
        <w:jc w:val="center"/>
        <w:rPr>
          <w:color w:val="auto"/>
          <w:highlight w:val="none"/>
        </w:rPr>
      </w:pPr>
    </w:p>
    <w:p w14:paraId="35055BF3">
      <w:pPr>
        <w:ind w:firstLine="0" w:firstLineChars="0"/>
        <w:jc w:val="center"/>
        <w:rPr>
          <w:rFonts w:asciiTheme="minorEastAsia" w:hAnsiTheme="minorEastAsia" w:eastAsiaTheme="minorEastAsia"/>
          <w:b/>
          <w:color w:val="auto"/>
          <w:highlight w:val="none"/>
        </w:rPr>
      </w:pPr>
      <w:r>
        <w:rPr>
          <w:rFonts w:asciiTheme="minorEastAsia" w:hAnsiTheme="minorEastAsia" w:eastAsiaTheme="minorEastAsia"/>
          <w:b/>
          <w:color w:val="auto"/>
          <w:highlight w:val="none"/>
        </w:rPr>
        <w:t>南芬区发展与改革局</w:t>
      </w:r>
    </w:p>
    <w:p w14:paraId="4FEE170C">
      <w:pPr>
        <w:ind w:firstLine="0" w:firstLineChars="0"/>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lang w:eastAsia="zh-CN"/>
        </w:rPr>
        <w:t>“十四五”规划</w:t>
      </w:r>
      <w:r>
        <w:rPr>
          <w:rFonts w:hint="eastAsia" w:asciiTheme="minorEastAsia" w:hAnsiTheme="minorEastAsia" w:eastAsiaTheme="minorEastAsia"/>
          <w:b/>
          <w:color w:val="auto"/>
          <w:highlight w:val="none"/>
        </w:rPr>
        <w:t>课题组</w:t>
      </w:r>
    </w:p>
    <w:p w14:paraId="7446C510">
      <w:pPr>
        <w:ind w:firstLine="0" w:firstLineChars="0"/>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202</w:t>
      </w:r>
      <w:r>
        <w:rPr>
          <w:rFonts w:asciiTheme="minorEastAsia" w:hAnsiTheme="minorEastAsia" w:eastAsiaTheme="minorEastAsia"/>
          <w:b/>
          <w:color w:val="auto"/>
          <w:highlight w:val="none"/>
        </w:rPr>
        <w:t>3</w:t>
      </w:r>
      <w:r>
        <w:rPr>
          <w:rFonts w:hint="eastAsia" w:asciiTheme="minorEastAsia" w:hAnsiTheme="minorEastAsia" w:eastAsiaTheme="minorEastAsia"/>
          <w:b/>
          <w:color w:val="auto"/>
          <w:highlight w:val="none"/>
        </w:rPr>
        <w:t>年</w:t>
      </w:r>
      <w:r>
        <w:rPr>
          <w:rFonts w:hint="eastAsia" w:asciiTheme="minorEastAsia" w:hAnsiTheme="minorEastAsia" w:eastAsiaTheme="minorEastAsia"/>
          <w:b/>
          <w:color w:val="auto"/>
          <w:highlight w:val="none"/>
          <w:lang w:val="en-US" w:eastAsia="zh-CN"/>
        </w:rPr>
        <w:t>9</w:t>
      </w:r>
      <w:r>
        <w:rPr>
          <w:rFonts w:hint="eastAsia" w:asciiTheme="minorEastAsia" w:hAnsiTheme="minorEastAsia" w:eastAsiaTheme="minorEastAsia"/>
          <w:b/>
          <w:color w:val="auto"/>
          <w:highlight w:val="none"/>
        </w:rPr>
        <w:t>月</w:t>
      </w:r>
    </w:p>
    <w:p w14:paraId="729D7A40">
      <w:pPr>
        <w:ind w:firstLine="560"/>
        <w:jc w:val="center"/>
        <w:rPr>
          <w:color w:val="auto"/>
          <w:highlight w:val="none"/>
        </w:rPr>
      </w:pPr>
    </w:p>
    <w:p w14:paraId="0736F7E5">
      <w:pPr>
        <w:ind w:firstLine="560"/>
        <w:rPr>
          <w:color w:val="auto"/>
          <w:highlight w:val="none"/>
        </w:rPr>
      </w:pPr>
      <w:r>
        <w:rPr>
          <w:color w:val="auto"/>
          <w:highlight w:val="none"/>
        </w:rPr>
        <w:br w:type="page"/>
      </w:r>
    </w:p>
    <w:sdt>
      <w:sdtPr>
        <w:rPr>
          <w:rFonts w:asciiTheme="minorHAnsi" w:hAnsiTheme="minorHAnsi" w:eastAsiaTheme="minorEastAsia" w:cstheme="minorBidi"/>
          <w:color w:val="auto"/>
          <w:kern w:val="2"/>
          <w:sz w:val="21"/>
          <w:szCs w:val="22"/>
          <w:highlight w:val="none"/>
          <w:lang w:val="zh-CN"/>
        </w:rPr>
        <w:id w:val="2108699852"/>
        <w:docPartObj>
          <w:docPartGallery w:val="Table of Contents"/>
          <w:docPartUnique/>
        </w:docPartObj>
      </w:sdtPr>
      <w:sdtEndPr>
        <w:rPr>
          <w:rFonts w:ascii="宋体" w:hAnsi="宋体" w:eastAsia="仿宋" w:cs="宋体"/>
          <w:b/>
          <w:color w:val="auto"/>
          <w:kern w:val="0"/>
          <w:sz w:val="24"/>
          <w:szCs w:val="24"/>
          <w:highlight w:val="none"/>
          <w:lang w:val="zh-CN"/>
        </w:rPr>
      </w:sdtEndPr>
      <w:sdtContent>
        <w:p w14:paraId="14E9EFC0">
          <w:pPr>
            <w:pStyle w:val="33"/>
            <w:ind w:firstLine="420"/>
            <w:jc w:val="center"/>
            <w:rPr>
              <w:color w:val="auto"/>
              <w:highlight w:val="none"/>
            </w:rPr>
          </w:pPr>
          <w:r>
            <w:rPr>
              <w:color w:val="auto"/>
              <w:highlight w:val="none"/>
              <w:lang w:val="zh-CN"/>
            </w:rPr>
            <w:t>目录</w:t>
          </w:r>
        </w:p>
        <w:p w14:paraId="067B819B">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"_Toc143701948" </w:instrText>
          </w:r>
          <w:r>
            <w:rPr>
              <w:color w:val="auto"/>
              <w:highlight w:val="none"/>
            </w:rPr>
            <w:fldChar w:fldCharType="separate"/>
          </w:r>
          <w:r>
            <w:rPr>
              <w:rStyle w:val="25"/>
              <w:rFonts w:hint="eastAsia"/>
              <w:color w:val="auto"/>
              <w:highlight w:val="none"/>
            </w:rPr>
            <w:t>第一章</w:t>
          </w:r>
          <w:r>
            <w:rPr>
              <w:rStyle w:val="25"/>
              <w:color w:val="auto"/>
              <w:highlight w:val="none"/>
            </w:rPr>
            <w:t xml:space="preserve"> </w:t>
          </w:r>
          <w:r>
            <w:rPr>
              <w:rStyle w:val="25"/>
              <w:rFonts w:hint="eastAsia"/>
              <w:color w:val="auto"/>
              <w:highlight w:val="none"/>
            </w:rPr>
            <w:t>回顾展望篇</w:t>
          </w:r>
          <w:r>
            <w:rPr>
              <w:color w:val="auto"/>
              <w:highlight w:val="none"/>
            </w:rPr>
            <w:tab/>
          </w:r>
          <w:r>
            <w:rPr>
              <w:color w:val="auto"/>
              <w:highlight w:val="none"/>
            </w:rPr>
            <w:fldChar w:fldCharType="begin"/>
          </w:r>
          <w:r>
            <w:rPr>
              <w:color w:val="auto"/>
              <w:highlight w:val="none"/>
            </w:rPr>
            <w:instrText xml:space="preserve"> PAGEREF _Toc143701948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9CA56F9">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"_Toc143701949"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“十三五”工作完成情况</w:t>
          </w:r>
          <w:r>
            <w:rPr>
              <w:color w:val="auto"/>
              <w:highlight w:val="none"/>
            </w:rPr>
            <w:tab/>
          </w:r>
          <w:r>
            <w:rPr>
              <w:color w:val="auto"/>
              <w:highlight w:val="none"/>
            </w:rPr>
            <w:fldChar w:fldCharType="begin"/>
          </w:r>
          <w:r>
            <w:rPr>
              <w:color w:val="auto"/>
              <w:highlight w:val="none"/>
            </w:rPr>
            <w:instrText xml:space="preserve"> PAGEREF _Toc143701949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8FAC3A1">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"_Toc143701950"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面临的机遇与挑战</w:t>
          </w:r>
          <w:r>
            <w:rPr>
              <w:color w:val="auto"/>
              <w:highlight w:val="none"/>
            </w:rPr>
            <w:tab/>
          </w:r>
          <w:r>
            <w:rPr>
              <w:color w:val="auto"/>
              <w:highlight w:val="none"/>
            </w:rPr>
            <w:fldChar w:fldCharType="begin"/>
          </w:r>
          <w:r>
            <w:rPr>
              <w:color w:val="auto"/>
              <w:highlight w:val="none"/>
            </w:rPr>
            <w:instrText xml:space="preserve"> PAGEREF _Toc143701950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091111A2">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"_Toc143701951" </w:instrText>
          </w:r>
          <w:r>
            <w:rPr>
              <w:color w:val="auto"/>
              <w:highlight w:val="none"/>
            </w:rPr>
            <w:fldChar w:fldCharType="separate"/>
          </w:r>
          <w:r>
            <w:rPr>
              <w:rStyle w:val="25"/>
              <w:rFonts w:hint="eastAsia"/>
              <w:color w:val="auto"/>
              <w:highlight w:val="none"/>
            </w:rPr>
            <w:t>第二章</w:t>
          </w:r>
          <w:r>
            <w:rPr>
              <w:rStyle w:val="25"/>
              <w:color w:val="auto"/>
              <w:highlight w:val="none"/>
            </w:rPr>
            <w:t xml:space="preserve"> </w:t>
          </w:r>
          <w:r>
            <w:rPr>
              <w:rStyle w:val="25"/>
              <w:rFonts w:hint="eastAsia"/>
              <w:color w:val="auto"/>
              <w:highlight w:val="none"/>
            </w:rPr>
            <w:t>总体规划篇</w:t>
          </w:r>
          <w:r>
            <w:rPr>
              <w:color w:val="auto"/>
              <w:highlight w:val="none"/>
            </w:rPr>
            <w:tab/>
          </w:r>
          <w:r>
            <w:rPr>
              <w:color w:val="auto"/>
              <w:highlight w:val="none"/>
            </w:rPr>
            <w:fldChar w:fldCharType="begin"/>
          </w:r>
          <w:r>
            <w:rPr>
              <w:color w:val="auto"/>
              <w:highlight w:val="none"/>
            </w:rPr>
            <w:instrText xml:space="preserve"> PAGEREF _Toc143701951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76D73AA0">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"_Toc143701952"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指导思想</w:t>
          </w:r>
          <w:r>
            <w:rPr>
              <w:color w:val="auto"/>
              <w:highlight w:val="none"/>
            </w:rPr>
            <w:tab/>
          </w:r>
          <w:r>
            <w:rPr>
              <w:color w:val="auto"/>
              <w:highlight w:val="none"/>
            </w:rPr>
            <w:fldChar w:fldCharType="begin"/>
          </w:r>
          <w:r>
            <w:rPr>
              <w:color w:val="auto"/>
              <w:highlight w:val="none"/>
            </w:rPr>
            <w:instrText xml:space="preserve"> PAGEREF _Toc143701952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2BB891BB">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"_Toc143701953"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基本原则</w:t>
          </w:r>
          <w:r>
            <w:rPr>
              <w:color w:val="auto"/>
              <w:highlight w:val="none"/>
            </w:rPr>
            <w:tab/>
          </w:r>
          <w:r>
            <w:rPr>
              <w:color w:val="auto"/>
              <w:highlight w:val="none"/>
            </w:rPr>
            <w:fldChar w:fldCharType="begin"/>
          </w:r>
          <w:r>
            <w:rPr>
              <w:color w:val="auto"/>
              <w:highlight w:val="none"/>
            </w:rPr>
            <w:instrText xml:space="preserve"> PAGEREF _Toc143701953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443BB68B">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"_Toc143701954"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发展目标</w:t>
          </w:r>
          <w:r>
            <w:rPr>
              <w:color w:val="auto"/>
              <w:highlight w:val="none"/>
            </w:rPr>
            <w:tab/>
          </w:r>
          <w:r>
            <w:rPr>
              <w:color w:val="auto"/>
              <w:highlight w:val="none"/>
            </w:rPr>
            <w:fldChar w:fldCharType="begin"/>
          </w:r>
          <w:r>
            <w:rPr>
              <w:color w:val="auto"/>
              <w:highlight w:val="none"/>
            </w:rPr>
            <w:instrText xml:space="preserve"> PAGEREF _Toc143701954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71105D12">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"_Toc143701955" </w:instrText>
          </w:r>
          <w:r>
            <w:rPr>
              <w:color w:val="auto"/>
              <w:highlight w:val="none"/>
            </w:rPr>
            <w:fldChar w:fldCharType="separate"/>
          </w:r>
          <w:r>
            <w:rPr>
              <w:rStyle w:val="25"/>
              <w:rFonts w:hint="eastAsia"/>
              <w:color w:val="auto"/>
              <w:highlight w:val="none"/>
            </w:rPr>
            <w:t>第三章</w:t>
          </w:r>
          <w:r>
            <w:rPr>
              <w:rStyle w:val="25"/>
              <w:color w:val="auto"/>
              <w:highlight w:val="none"/>
            </w:rPr>
            <w:t xml:space="preserve"> </w:t>
          </w:r>
          <w:r>
            <w:rPr>
              <w:rStyle w:val="25"/>
              <w:rFonts w:hint="eastAsia"/>
              <w:color w:val="auto"/>
              <w:highlight w:val="none"/>
            </w:rPr>
            <w:t>优化营商篇</w:t>
          </w:r>
          <w:r>
            <w:rPr>
              <w:color w:val="auto"/>
              <w:highlight w:val="none"/>
            </w:rPr>
            <w:tab/>
          </w:r>
          <w:r>
            <w:rPr>
              <w:color w:val="auto"/>
              <w:highlight w:val="none"/>
            </w:rPr>
            <w:fldChar w:fldCharType="begin"/>
          </w:r>
          <w:r>
            <w:rPr>
              <w:color w:val="auto"/>
              <w:highlight w:val="none"/>
            </w:rPr>
            <w:instrText xml:space="preserve"> PAGEREF _Toc143701955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5B6A5C8D">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"_Toc143701956"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落实党的政策</w:t>
          </w:r>
          <w:r>
            <w:rPr>
              <w:rStyle w:val="25"/>
              <w:color w:val="auto"/>
              <w:highlight w:val="none"/>
            </w:rPr>
            <w:t xml:space="preserve"> </w:t>
          </w:r>
          <w:r>
            <w:rPr>
              <w:rStyle w:val="25"/>
              <w:rFonts w:hint="eastAsia"/>
              <w:color w:val="auto"/>
              <w:highlight w:val="none"/>
            </w:rPr>
            <w:t>完善营商环境服务机制</w:t>
          </w:r>
          <w:r>
            <w:rPr>
              <w:color w:val="auto"/>
              <w:highlight w:val="none"/>
            </w:rPr>
            <w:tab/>
          </w:r>
          <w:r>
            <w:rPr>
              <w:color w:val="auto"/>
              <w:highlight w:val="none"/>
            </w:rPr>
            <w:fldChar w:fldCharType="begin"/>
          </w:r>
          <w:r>
            <w:rPr>
              <w:color w:val="auto"/>
              <w:highlight w:val="none"/>
            </w:rPr>
            <w:instrText xml:space="preserve"> PAGEREF _Toc143701956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2B265D33">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"_Toc143701957"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优化融资环境</w:t>
          </w:r>
          <w:r>
            <w:rPr>
              <w:rStyle w:val="25"/>
              <w:color w:val="auto"/>
              <w:highlight w:val="none"/>
            </w:rPr>
            <w:t xml:space="preserve"> </w:t>
          </w:r>
          <w:r>
            <w:rPr>
              <w:rStyle w:val="25"/>
              <w:rFonts w:hint="eastAsia"/>
              <w:color w:val="auto"/>
              <w:highlight w:val="none"/>
            </w:rPr>
            <w:t>解决企业融资难的问题</w:t>
          </w:r>
          <w:r>
            <w:rPr>
              <w:color w:val="auto"/>
              <w:highlight w:val="none"/>
            </w:rPr>
            <w:tab/>
          </w:r>
          <w:r>
            <w:rPr>
              <w:color w:val="auto"/>
              <w:highlight w:val="none"/>
            </w:rPr>
            <w:fldChar w:fldCharType="begin"/>
          </w:r>
          <w:r>
            <w:rPr>
              <w:color w:val="auto"/>
              <w:highlight w:val="none"/>
            </w:rPr>
            <w:instrText xml:space="preserve"> PAGEREF _Toc143701957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201A0BC3">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"_Toc143701958"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推供给侧改革</w:t>
          </w:r>
          <w:r>
            <w:rPr>
              <w:rStyle w:val="25"/>
              <w:color w:val="auto"/>
              <w:highlight w:val="none"/>
            </w:rPr>
            <w:t xml:space="preserve"> </w:t>
          </w:r>
          <w:r>
            <w:rPr>
              <w:rStyle w:val="25"/>
              <w:rFonts w:hint="eastAsia"/>
              <w:color w:val="auto"/>
              <w:highlight w:val="none"/>
            </w:rPr>
            <w:t>扶持民营经济持续发展</w:t>
          </w:r>
          <w:r>
            <w:rPr>
              <w:color w:val="auto"/>
              <w:highlight w:val="none"/>
            </w:rPr>
            <w:tab/>
          </w:r>
          <w:r>
            <w:rPr>
              <w:color w:val="auto"/>
              <w:highlight w:val="none"/>
            </w:rPr>
            <w:fldChar w:fldCharType="begin"/>
          </w:r>
          <w:r>
            <w:rPr>
              <w:color w:val="auto"/>
              <w:highlight w:val="none"/>
            </w:rPr>
            <w:instrText xml:space="preserve"> PAGEREF _Toc143701958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6469CBEE">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"_Toc143701959" </w:instrText>
          </w:r>
          <w:r>
            <w:rPr>
              <w:color w:val="auto"/>
              <w:highlight w:val="none"/>
            </w:rPr>
            <w:fldChar w:fldCharType="separate"/>
          </w:r>
          <w:r>
            <w:rPr>
              <w:rStyle w:val="25"/>
              <w:rFonts w:hint="eastAsia"/>
              <w:color w:val="auto"/>
              <w:highlight w:val="none"/>
            </w:rPr>
            <w:t>第四节</w:t>
          </w:r>
          <w:r>
            <w:rPr>
              <w:rStyle w:val="25"/>
              <w:color w:val="auto"/>
              <w:highlight w:val="none"/>
            </w:rPr>
            <w:t xml:space="preserve"> </w:t>
          </w:r>
          <w:r>
            <w:rPr>
              <w:rStyle w:val="25"/>
              <w:rFonts w:hint="eastAsia"/>
              <w:color w:val="auto"/>
              <w:highlight w:val="none"/>
            </w:rPr>
            <w:t>加强开放合作</w:t>
          </w:r>
          <w:r>
            <w:rPr>
              <w:rStyle w:val="25"/>
              <w:color w:val="auto"/>
              <w:highlight w:val="none"/>
            </w:rPr>
            <w:t xml:space="preserve"> </w:t>
          </w:r>
          <w:r>
            <w:rPr>
              <w:rStyle w:val="25"/>
              <w:rFonts w:hint="eastAsia"/>
              <w:color w:val="auto"/>
              <w:highlight w:val="none"/>
            </w:rPr>
            <w:t>促进“双循环”新格局</w:t>
          </w:r>
          <w:r>
            <w:rPr>
              <w:color w:val="auto"/>
              <w:highlight w:val="none"/>
            </w:rPr>
            <w:tab/>
          </w:r>
          <w:r>
            <w:rPr>
              <w:color w:val="auto"/>
              <w:highlight w:val="none"/>
            </w:rPr>
            <w:fldChar w:fldCharType="begin"/>
          </w:r>
          <w:r>
            <w:rPr>
              <w:color w:val="auto"/>
              <w:highlight w:val="none"/>
            </w:rPr>
            <w:instrText xml:space="preserve"> PAGEREF _Toc143701959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0AD7CE45">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"_Toc143701960" </w:instrText>
          </w:r>
          <w:r>
            <w:rPr>
              <w:color w:val="auto"/>
              <w:highlight w:val="none"/>
            </w:rPr>
            <w:fldChar w:fldCharType="separate"/>
          </w:r>
          <w:r>
            <w:rPr>
              <w:rStyle w:val="25"/>
              <w:rFonts w:hint="eastAsia"/>
              <w:color w:val="auto"/>
              <w:highlight w:val="none"/>
            </w:rPr>
            <w:t>第四章</w:t>
          </w:r>
          <w:r>
            <w:rPr>
              <w:rStyle w:val="25"/>
              <w:color w:val="auto"/>
              <w:highlight w:val="none"/>
            </w:rPr>
            <w:t xml:space="preserve"> </w:t>
          </w:r>
          <w:r>
            <w:rPr>
              <w:rStyle w:val="25"/>
              <w:rFonts w:hint="eastAsia"/>
              <w:color w:val="auto"/>
              <w:highlight w:val="none"/>
            </w:rPr>
            <w:t>工业强区篇</w:t>
          </w:r>
          <w:r>
            <w:rPr>
              <w:color w:val="auto"/>
              <w:highlight w:val="none"/>
            </w:rPr>
            <w:tab/>
          </w:r>
          <w:r>
            <w:rPr>
              <w:color w:val="auto"/>
              <w:highlight w:val="none"/>
            </w:rPr>
            <w:fldChar w:fldCharType="begin"/>
          </w:r>
          <w:r>
            <w:rPr>
              <w:color w:val="auto"/>
              <w:highlight w:val="none"/>
            </w:rPr>
            <w:instrText xml:space="preserve"> PAGEREF _Toc143701960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DE32491">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"_Toc143701961"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优化“一区、三基地”产业发展布局</w:t>
          </w:r>
          <w:r>
            <w:rPr>
              <w:color w:val="auto"/>
              <w:highlight w:val="none"/>
            </w:rPr>
            <w:tab/>
          </w:r>
          <w:r>
            <w:rPr>
              <w:color w:val="auto"/>
              <w:highlight w:val="none"/>
            </w:rPr>
            <w:fldChar w:fldCharType="begin"/>
          </w:r>
          <w:r>
            <w:rPr>
              <w:color w:val="auto"/>
              <w:highlight w:val="none"/>
            </w:rPr>
            <w:instrText xml:space="preserve"> PAGEREF _Toc143701961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762E04F2">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"_Toc143701962"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助力重点企业</w:t>
          </w:r>
          <w:r>
            <w:rPr>
              <w:rStyle w:val="25"/>
              <w:color w:val="auto"/>
              <w:highlight w:val="none"/>
            </w:rPr>
            <w:t xml:space="preserve"> </w:t>
          </w:r>
          <w:r>
            <w:rPr>
              <w:rStyle w:val="25"/>
              <w:rFonts w:hint="eastAsia"/>
              <w:color w:val="auto"/>
              <w:highlight w:val="none"/>
            </w:rPr>
            <w:t>打造支柱产业增长极</w:t>
          </w:r>
          <w:r>
            <w:rPr>
              <w:color w:val="auto"/>
              <w:highlight w:val="none"/>
            </w:rPr>
            <w:tab/>
          </w:r>
          <w:r>
            <w:rPr>
              <w:color w:val="auto"/>
              <w:highlight w:val="none"/>
            </w:rPr>
            <w:fldChar w:fldCharType="begin"/>
          </w:r>
          <w:r>
            <w:rPr>
              <w:color w:val="auto"/>
              <w:highlight w:val="none"/>
            </w:rPr>
            <w:instrText xml:space="preserve"> PAGEREF _Toc143701962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B225E27">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"_Toc143701963"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做好“老原新”打造产业发展新链条</w:t>
          </w:r>
          <w:r>
            <w:rPr>
              <w:color w:val="auto"/>
              <w:highlight w:val="none"/>
            </w:rPr>
            <w:tab/>
          </w:r>
          <w:r>
            <w:rPr>
              <w:color w:val="auto"/>
              <w:highlight w:val="none"/>
            </w:rPr>
            <w:fldChar w:fldCharType="begin"/>
          </w:r>
          <w:r>
            <w:rPr>
              <w:color w:val="auto"/>
              <w:highlight w:val="none"/>
            </w:rPr>
            <w:instrText xml:space="preserve"> PAGEREF _Toc143701963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1F4724F2">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"_Toc143701964" </w:instrText>
          </w:r>
          <w:r>
            <w:rPr>
              <w:color w:val="auto"/>
              <w:highlight w:val="none"/>
            </w:rPr>
            <w:fldChar w:fldCharType="separate"/>
          </w:r>
          <w:r>
            <w:rPr>
              <w:rStyle w:val="25"/>
              <w:rFonts w:hint="eastAsia"/>
              <w:color w:val="auto"/>
              <w:highlight w:val="none"/>
            </w:rPr>
            <w:t>第四节</w:t>
          </w:r>
          <w:r>
            <w:rPr>
              <w:rStyle w:val="25"/>
              <w:color w:val="auto"/>
              <w:highlight w:val="none"/>
            </w:rPr>
            <w:t xml:space="preserve"> </w:t>
          </w:r>
          <w:r>
            <w:rPr>
              <w:rStyle w:val="25"/>
              <w:rFonts w:hint="eastAsia"/>
              <w:color w:val="auto"/>
              <w:highlight w:val="none"/>
            </w:rPr>
            <w:t>推动产业创新</w:t>
          </w:r>
          <w:r>
            <w:rPr>
              <w:rStyle w:val="25"/>
              <w:color w:val="auto"/>
              <w:highlight w:val="none"/>
            </w:rPr>
            <w:t xml:space="preserve"> </w:t>
          </w:r>
          <w:r>
            <w:rPr>
              <w:rStyle w:val="25"/>
              <w:rFonts w:hint="eastAsia"/>
              <w:color w:val="auto"/>
              <w:highlight w:val="none"/>
            </w:rPr>
            <w:t>打造产业内生新动能</w:t>
          </w:r>
          <w:r>
            <w:rPr>
              <w:color w:val="auto"/>
              <w:highlight w:val="none"/>
            </w:rPr>
            <w:tab/>
          </w:r>
          <w:r>
            <w:rPr>
              <w:color w:val="auto"/>
              <w:highlight w:val="none"/>
            </w:rPr>
            <w:fldChar w:fldCharType="begin"/>
          </w:r>
          <w:r>
            <w:rPr>
              <w:color w:val="auto"/>
              <w:highlight w:val="none"/>
            </w:rPr>
            <w:instrText xml:space="preserve"> PAGEREF _Toc143701964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137EF167">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"_Toc143701965" </w:instrText>
          </w:r>
          <w:r>
            <w:rPr>
              <w:color w:val="auto"/>
              <w:highlight w:val="none"/>
            </w:rPr>
            <w:fldChar w:fldCharType="separate"/>
          </w:r>
          <w:r>
            <w:rPr>
              <w:rStyle w:val="25"/>
              <w:rFonts w:hint="eastAsia"/>
              <w:color w:val="auto"/>
              <w:highlight w:val="none"/>
            </w:rPr>
            <w:t>第五章</w:t>
          </w:r>
          <w:r>
            <w:rPr>
              <w:rStyle w:val="25"/>
              <w:color w:val="auto"/>
              <w:highlight w:val="none"/>
            </w:rPr>
            <w:t xml:space="preserve"> </w:t>
          </w:r>
          <w:r>
            <w:rPr>
              <w:rStyle w:val="25"/>
              <w:rFonts w:hint="eastAsia"/>
              <w:color w:val="auto"/>
              <w:highlight w:val="none"/>
            </w:rPr>
            <w:t>新能源篇</w:t>
          </w:r>
          <w:r>
            <w:rPr>
              <w:color w:val="auto"/>
              <w:highlight w:val="none"/>
            </w:rPr>
            <w:tab/>
          </w:r>
          <w:r>
            <w:rPr>
              <w:color w:val="auto"/>
              <w:highlight w:val="none"/>
            </w:rPr>
            <w:fldChar w:fldCharType="begin"/>
          </w:r>
          <w:r>
            <w:rPr>
              <w:color w:val="auto"/>
              <w:highlight w:val="none"/>
            </w:rPr>
            <w:instrText xml:space="preserve"> PAGEREF _Toc143701965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01B99C77">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"_Toc143701966"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大力扶持发展新能源产业</w:t>
          </w:r>
          <w:r>
            <w:rPr>
              <w:color w:val="auto"/>
              <w:highlight w:val="none"/>
            </w:rPr>
            <w:tab/>
          </w:r>
          <w:r>
            <w:rPr>
              <w:color w:val="auto"/>
              <w:highlight w:val="none"/>
            </w:rPr>
            <w:fldChar w:fldCharType="begin"/>
          </w:r>
          <w:r>
            <w:rPr>
              <w:color w:val="auto"/>
              <w:highlight w:val="none"/>
            </w:rPr>
            <w:instrText xml:space="preserve"> PAGEREF _Toc143701966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641262F0">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"_Toc143701967"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推动新能源技术应用普及</w:t>
          </w:r>
          <w:r>
            <w:rPr>
              <w:color w:val="auto"/>
              <w:highlight w:val="none"/>
            </w:rPr>
            <w:tab/>
          </w:r>
          <w:r>
            <w:rPr>
              <w:color w:val="auto"/>
              <w:highlight w:val="none"/>
            </w:rPr>
            <w:fldChar w:fldCharType="begin"/>
          </w:r>
          <w:r>
            <w:rPr>
              <w:color w:val="auto"/>
              <w:highlight w:val="none"/>
            </w:rPr>
            <w:instrText xml:space="preserve"> PAGEREF _Toc143701967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37A72A4D">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"_Toc143701968"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发展绿色低碳和节能降耗</w:t>
          </w:r>
          <w:r>
            <w:rPr>
              <w:color w:val="auto"/>
              <w:highlight w:val="none"/>
            </w:rPr>
            <w:tab/>
          </w:r>
          <w:r>
            <w:rPr>
              <w:color w:val="auto"/>
              <w:highlight w:val="none"/>
            </w:rPr>
            <w:fldChar w:fldCharType="begin"/>
          </w:r>
          <w:r>
            <w:rPr>
              <w:color w:val="auto"/>
              <w:highlight w:val="none"/>
            </w:rPr>
            <w:instrText xml:space="preserve"> PAGEREF _Toc143701968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6B9771AB">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"_Toc143701969" </w:instrText>
          </w:r>
          <w:r>
            <w:rPr>
              <w:color w:val="auto"/>
              <w:highlight w:val="none"/>
            </w:rPr>
            <w:fldChar w:fldCharType="separate"/>
          </w:r>
          <w:r>
            <w:rPr>
              <w:rStyle w:val="25"/>
              <w:rFonts w:hint="eastAsia"/>
              <w:color w:val="auto"/>
              <w:highlight w:val="none"/>
            </w:rPr>
            <w:t>第六章</w:t>
          </w:r>
          <w:r>
            <w:rPr>
              <w:rStyle w:val="25"/>
              <w:color w:val="auto"/>
              <w:highlight w:val="none"/>
            </w:rPr>
            <w:t xml:space="preserve"> </w:t>
          </w:r>
          <w:r>
            <w:rPr>
              <w:rStyle w:val="25"/>
              <w:rFonts w:hint="eastAsia"/>
              <w:color w:val="auto"/>
              <w:highlight w:val="none"/>
            </w:rPr>
            <w:t>文旅兴区篇</w:t>
          </w:r>
          <w:r>
            <w:rPr>
              <w:color w:val="auto"/>
              <w:highlight w:val="none"/>
            </w:rPr>
            <w:tab/>
          </w:r>
          <w:r>
            <w:rPr>
              <w:color w:val="auto"/>
              <w:highlight w:val="none"/>
            </w:rPr>
            <w:fldChar w:fldCharType="begin"/>
          </w:r>
          <w:r>
            <w:rPr>
              <w:color w:val="auto"/>
              <w:highlight w:val="none"/>
            </w:rPr>
            <w:instrText xml:space="preserve"> PAGEREF _Toc143701969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79184A79">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"_Toc143701970"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构建旅游发展空间全域化</w:t>
          </w:r>
          <w:r>
            <w:rPr>
              <w:color w:val="auto"/>
              <w:highlight w:val="none"/>
            </w:rPr>
            <w:tab/>
          </w:r>
          <w:r>
            <w:rPr>
              <w:color w:val="auto"/>
              <w:highlight w:val="none"/>
            </w:rPr>
            <w:fldChar w:fldCharType="begin"/>
          </w:r>
          <w:r>
            <w:rPr>
              <w:color w:val="auto"/>
              <w:highlight w:val="none"/>
            </w:rPr>
            <w:instrText xml:space="preserve"> PAGEREF _Toc143701970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02546158">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"_Toc143701971"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推进旅游产品体系全域化</w:t>
          </w:r>
          <w:r>
            <w:rPr>
              <w:color w:val="auto"/>
              <w:highlight w:val="none"/>
            </w:rPr>
            <w:tab/>
          </w:r>
          <w:r>
            <w:rPr>
              <w:color w:val="auto"/>
              <w:highlight w:val="none"/>
            </w:rPr>
            <w:fldChar w:fldCharType="begin"/>
          </w:r>
          <w:r>
            <w:rPr>
              <w:color w:val="auto"/>
              <w:highlight w:val="none"/>
            </w:rPr>
            <w:instrText xml:space="preserve"> PAGEREF _Toc143701971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0C6BC485">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"_Toc143701972"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促进旅游品牌服务全域化</w:t>
          </w:r>
          <w:r>
            <w:rPr>
              <w:color w:val="auto"/>
              <w:highlight w:val="none"/>
            </w:rPr>
            <w:tab/>
          </w:r>
          <w:r>
            <w:rPr>
              <w:color w:val="auto"/>
              <w:highlight w:val="none"/>
            </w:rPr>
            <w:fldChar w:fldCharType="begin"/>
          </w:r>
          <w:r>
            <w:rPr>
              <w:color w:val="auto"/>
              <w:highlight w:val="none"/>
            </w:rPr>
            <w:instrText xml:space="preserve"> PAGEREF _Toc143701972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26E8A4E3">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"_Toc143701973" </w:instrText>
          </w:r>
          <w:r>
            <w:rPr>
              <w:color w:val="auto"/>
              <w:highlight w:val="none"/>
            </w:rPr>
            <w:fldChar w:fldCharType="separate"/>
          </w:r>
          <w:r>
            <w:rPr>
              <w:rStyle w:val="25"/>
              <w:rFonts w:hint="eastAsia"/>
              <w:color w:val="auto"/>
              <w:highlight w:val="none"/>
            </w:rPr>
            <w:t>第四节</w:t>
          </w:r>
          <w:r>
            <w:rPr>
              <w:rStyle w:val="25"/>
              <w:color w:val="auto"/>
              <w:highlight w:val="none"/>
            </w:rPr>
            <w:t xml:space="preserve"> </w:t>
          </w:r>
          <w:r>
            <w:rPr>
              <w:rStyle w:val="25"/>
              <w:rFonts w:hint="eastAsia"/>
              <w:color w:val="auto"/>
              <w:highlight w:val="none"/>
            </w:rPr>
            <w:t>增强服务产业发展新动力</w:t>
          </w:r>
          <w:r>
            <w:rPr>
              <w:color w:val="auto"/>
              <w:highlight w:val="none"/>
            </w:rPr>
            <w:tab/>
          </w:r>
          <w:r>
            <w:rPr>
              <w:color w:val="auto"/>
              <w:highlight w:val="none"/>
            </w:rPr>
            <w:fldChar w:fldCharType="begin"/>
          </w:r>
          <w:r>
            <w:rPr>
              <w:color w:val="auto"/>
              <w:highlight w:val="none"/>
            </w:rPr>
            <w:instrText xml:space="preserve"> PAGEREF _Toc143701973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0405DD2D">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"_Toc143701974" </w:instrText>
          </w:r>
          <w:r>
            <w:rPr>
              <w:color w:val="auto"/>
              <w:highlight w:val="none"/>
            </w:rPr>
            <w:fldChar w:fldCharType="separate"/>
          </w:r>
          <w:r>
            <w:rPr>
              <w:rStyle w:val="25"/>
              <w:rFonts w:hint="eastAsia"/>
              <w:color w:val="auto"/>
              <w:highlight w:val="none"/>
            </w:rPr>
            <w:t>第七章</w:t>
          </w:r>
          <w:r>
            <w:rPr>
              <w:rStyle w:val="25"/>
              <w:color w:val="auto"/>
              <w:highlight w:val="none"/>
            </w:rPr>
            <w:t xml:space="preserve"> </w:t>
          </w:r>
          <w:r>
            <w:rPr>
              <w:rStyle w:val="25"/>
              <w:rFonts w:hint="eastAsia"/>
              <w:color w:val="auto"/>
              <w:highlight w:val="none"/>
            </w:rPr>
            <w:t>生态立区篇</w:t>
          </w:r>
          <w:r>
            <w:rPr>
              <w:color w:val="auto"/>
              <w:highlight w:val="none"/>
            </w:rPr>
            <w:tab/>
          </w:r>
          <w:r>
            <w:rPr>
              <w:color w:val="auto"/>
              <w:highlight w:val="none"/>
            </w:rPr>
            <w:fldChar w:fldCharType="begin"/>
          </w:r>
          <w:r>
            <w:rPr>
              <w:color w:val="auto"/>
              <w:highlight w:val="none"/>
            </w:rPr>
            <w:instrText xml:space="preserve"> PAGEREF _Toc143701974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48CA84F3">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"_Toc143701975"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防治污染保护环境</w:t>
          </w:r>
          <w:r>
            <w:rPr>
              <w:rStyle w:val="25"/>
              <w:color w:val="auto"/>
              <w:highlight w:val="none"/>
            </w:rPr>
            <w:t xml:space="preserve"> </w:t>
          </w:r>
          <w:r>
            <w:rPr>
              <w:rStyle w:val="25"/>
              <w:rFonts w:hint="eastAsia"/>
              <w:color w:val="auto"/>
              <w:highlight w:val="none"/>
            </w:rPr>
            <w:t>持续改善“双生”环境质量</w:t>
          </w:r>
          <w:r>
            <w:rPr>
              <w:color w:val="auto"/>
              <w:highlight w:val="none"/>
            </w:rPr>
            <w:tab/>
          </w:r>
          <w:r>
            <w:rPr>
              <w:color w:val="auto"/>
              <w:highlight w:val="none"/>
            </w:rPr>
            <w:fldChar w:fldCharType="begin"/>
          </w:r>
          <w:r>
            <w:rPr>
              <w:color w:val="auto"/>
              <w:highlight w:val="none"/>
            </w:rPr>
            <w:instrText xml:space="preserve"> PAGEREF _Toc143701975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23FA413D">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"_Toc143701976"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树立生态文明理念</w:t>
          </w:r>
          <w:r>
            <w:rPr>
              <w:rStyle w:val="25"/>
              <w:color w:val="auto"/>
              <w:highlight w:val="none"/>
            </w:rPr>
            <w:t xml:space="preserve"> </w:t>
          </w:r>
          <w:r>
            <w:rPr>
              <w:rStyle w:val="25"/>
              <w:rFonts w:hint="eastAsia"/>
              <w:color w:val="auto"/>
              <w:highlight w:val="none"/>
            </w:rPr>
            <w:t>健全“双宜”生态文明制度</w:t>
          </w:r>
          <w:r>
            <w:rPr>
              <w:color w:val="auto"/>
              <w:highlight w:val="none"/>
            </w:rPr>
            <w:tab/>
          </w:r>
          <w:r>
            <w:rPr>
              <w:color w:val="auto"/>
              <w:highlight w:val="none"/>
            </w:rPr>
            <w:fldChar w:fldCharType="begin"/>
          </w:r>
          <w:r>
            <w:rPr>
              <w:color w:val="auto"/>
              <w:highlight w:val="none"/>
            </w:rPr>
            <w:instrText xml:space="preserve"> PAGEREF _Toc143701976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6B288FAF">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"_Toc143701977" </w:instrText>
          </w:r>
          <w:r>
            <w:rPr>
              <w:color w:val="auto"/>
              <w:highlight w:val="none"/>
            </w:rPr>
            <w:fldChar w:fldCharType="separate"/>
          </w:r>
          <w:r>
            <w:rPr>
              <w:rStyle w:val="25"/>
              <w:rFonts w:hint="eastAsia"/>
              <w:color w:val="auto"/>
              <w:highlight w:val="none"/>
            </w:rPr>
            <w:t>第八章</w:t>
          </w:r>
          <w:r>
            <w:rPr>
              <w:rStyle w:val="25"/>
              <w:color w:val="auto"/>
              <w:highlight w:val="none"/>
            </w:rPr>
            <w:t xml:space="preserve"> </w:t>
          </w:r>
          <w:r>
            <w:rPr>
              <w:rStyle w:val="25"/>
              <w:rFonts w:hint="eastAsia"/>
              <w:color w:val="auto"/>
              <w:highlight w:val="none"/>
            </w:rPr>
            <w:t>协调发展篇</w:t>
          </w:r>
          <w:r>
            <w:rPr>
              <w:color w:val="auto"/>
              <w:highlight w:val="none"/>
            </w:rPr>
            <w:tab/>
          </w:r>
          <w:r>
            <w:rPr>
              <w:color w:val="auto"/>
              <w:highlight w:val="none"/>
            </w:rPr>
            <w:fldChar w:fldCharType="begin"/>
          </w:r>
          <w:r>
            <w:rPr>
              <w:color w:val="auto"/>
              <w:highlight w:val="none"/>
            </w:rPr>
            <w:instrText xml:space="preserve"> PAGEREF _Toc143701977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ABA6F60">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"_Toc143701978"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全面推进“一体两翼”新型城镇化</w:t>
          </w:r>
          <w:r>
            <w:rPr>
              <w:color w:val="auto"/>
              <w:highlight w:val="none"/>
            </w:rPr>
            <w:tab/>
          </w:r>
          <w:r>
            <w:rPr>
              <w:color w:val="auto"/>
              <w:highlight w:val="none"/>
            </w:rPr>
            <w:fldChar w:fldCharType="begin"/>
          </w:r>
          <w:r>
            <w:rPr>
              <w:color w:val="auto"/>
              <w:highlight w:val="none"/>
            </w:rPr>
            <w:instrText xml:space="preserve"> PAGEREF _Toc143701978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7C03E422">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"_Toc143701979"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进一步加强重大基础设施建设</w:t>
          </w:r>
          <w:r>
            <w:rPr>
              <w:color w:val="auto"/>
              <w:highlight w:val="none"/>
            </w:rPr>
            <w:tab/>
          </w:r>
          <w:r>
            <w:rPr>
              <w:color w:val="auto"/>
              <w:highlight w:val="none"/>
            </w:rPr>
            <w:fldChar w:fldCharType="begin"/>
          </w:r>
          <w:r>
            <w:rPr>
              <w:color w:val="auto"/>
              <w:highlight w:val="none"/>
            </w:rPr>
            <w:instrText xml:space="preserve"> PAGEREF _Toc143701979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5F8E14EE">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"_Toc143701980"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实施独立工矿区改造提升工程</w:t>
          </w:r>
          <w:r>
            <w:rPr>
              <w:color w:val="auto"/>
              <w:highlight w:val="none"/>
            </w:rPr>
            <w:tab/>
          </w:r>
          <w:r>
            <w:rPr>
              <w:color w:val="auto"/>
              <w:highlight w:val="none"/>
            </w:rPr>
            <w:fldChar w:fldCharType="begin"/>
          </w:r>
          <w:r>
            <w:rPr>
              <w:color w:val="auto"/>
              <w:highlight w:val="none"/>
            </w:rPr>
            <w:instrText xml:space="preserve"> PAGEREF _Toc143701980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150AD54A">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"_Toc143701981" </w:instrText>
          </w:r>
          <w:r>
            <w:rPr>
              <w:color w:val="auto"/>
              <w:highlight w:val="none"/>
            </w:rPr>
            <w:fldChar w:fldCharType="separate"/>
          </w:r>
          <w:r>
            <w:rPr>
              <w:rStyle w:val="25"/>
              <w:rFonts w:hint="eastAsia"/>
              <w:color w:val="auto"/>
              <w:highlight w:val="none"/>
            </w:rPr>
            <w:t>第四节</w:t>
          </w:r>
          <w:r>
            <w:rPr>
              <w:rStyle w:val="25"/>
              <w:color w:val="auto"/>
              <w:highlight w:val="none"/>
            </w:rPr>
            <w:t xml:space="preserve"> </w:t>
          </w:r>
          <w:r>
            <w:rPr>
              <w:rStyle w:val="25"/>
              <w:rFonts w:hint="eastAsia"/>
              <w:color w:val="auto"/>
              <w:highlight w:val="none"/>
            </w:rPr>
            <w:t>进一步实施乡村振兴发展战略</w:t>
          </w:r>
          <w:r>
            <w:rPr>
              <w:color w:val="auto"/>
              <w:highlight w:val="none"/>
            </w:rPr>
            <w:tab/>
          </w:r>
          <w:r>
            <w:rPr>
              <w:color w:val="auto"/>
              <w:highlight w:val="none"/>
            </w:rPr>
            <w:fldChar w:fldCharType="begin"/>
          </w:r>
          <w:r>
            <w:rPr>
              <w:color w:val="auto"/>
              <w:highlight w:val="none"/>
            </w:rPr>
            <w:instrText xml:space="preserve"> PAGEREF _Toc143701981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26CBC6DE">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"_Toc143701982" </w:instrText>
          </w:r>
          <w:r>
            <w:rPr>
              <w:color w:val="auto"/>
              <w:highlight w:val="none"/>
            </w:rPr>
            <w:fldChar w:fldCharType="separate"/>
          </w:r>
          <w:r>
            <w:rPr>
              <w:rStyle w:val="25"/>
              <w:rFonts w:hint="eastAsia"/>
              <w:color w:val="auto"/>
              <w:highlight w:val="none"/>
            </w:rPr>
            <w:t>第五节</w:t>
          </w:r>
          <w:r>
            <w:rPr>
              <w:rStyle w:val="25"/>
              <w:color w:val="auto"/>
              <w:highlight w:val="none"/>
            </w:rPr>
            <w:t xml:space="preserve"> </w:t>
          </w:r>
          <w:r>
            <w:rPr>
              <w:rStyle w:val="25"/>
              <w:rFonts w:hint="eastAsia"/>
              <w:color w:val="auto"/>
              <w:highlight w:val="none"/>
            </w:rPr>
            <w:t>创新性推动南芬智慧城市建设</w:t>
          </w:r>
          <w:r>
            <w:rPr>
              <w:color w:val="auto"/>
              <w:highlight w:val="none"/>
            </w:rPr>
            <w:tab/>
          </w:r>
          <w:r>
            <w:rPr>
              <w:color w:val="auto"/>
              <w:highlight w:val="none"/>
            </w:rPr>
            <w:fldChar w:fldCharType="begin"/>
          </w:r>
          <w:r>
            <w:rPr>
              <w:color w:val="auto"/>
              <w:highlight w:val="none"/>
            </w:rPr>
            <w:instrText xml:space="preserve"> PAGEREF _Toc143701982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0DDDD83B">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"_Toc143701983" </w:instrText>
          </w:r>
          <w:r>
            <w:rPr>
              <w:color w:val="auto"/>
              <w:highlight w:val="none"/>
            </w:rPr>
            <w:fldChar w:fldCharType="separate"/>
          </w:r>
          <w:r>
            <w:rPr>
              <w:rStyle w:val="25"/>
              <w:rFonts w:hint="eastAsia"/>
              <w:color w:val="auto"/>
              <w:highlight w:val="none"/>
            </w:rPr>
            <w:t>第九章</w:t>
          </w:r>
          <w:r>
            <w:rPr>
              <w:rStyle w:val="25"/>
              <w:color w:val="auto"/>
              <w:highlight w:val="none"/>
            </w:rPr>
            <w:t xml:space="preserve"> </w:t>
          </w:r>
          <w:r>
            <w:rPr>
              <w:rStyle w:val="25"/>
              <w:rFonts w:hint="eastAsia"/>
              <w:color w:val="auto"/>
              <w:highlight w:val="none"/>
            </w:rPr>
            <w:t>民生事业篇</w:t>
          </w:r>
          <w:r>
            <w:rPr>
              <w:color w:val="auto"/>
              <w:highlight w:val="none"/>
            </w:rPr>
            <w:tab/>
          </w:r>
          <w:r>
            <w:rPr>
              <w:color w:val="auto"/>
              <w:highlight w:val="none"/>
            </w:rPr>
            <w:fldChar w:fldCharType="begin"/>
          </w:r>
          <w:r>
            <w:rPr>
              <w:color w:val="auto"/>
              <w:highlight w:val="none"/>
            </w:rPr>
            <w:instrText xml:space="preserve"> PAGEREF _Toc143701983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7A5E5E37">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"_Toc143701984"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促进创业保障就业</w:t>
          </w:r>
          <w:r>
            <w:rPr>
              <w:color w:val="auto"/>
              <w:highlight w:val="none"/>
            </w:rPr>
            <w:tab/>
          </w:r>
          <w:r>
            <w:rPr>
              <w:color w:val="auto"/>
              <w:highlight w:val="none"/>
            </w:rPr>
            <w:fldChar w:fldCharType="begin"/>
          </w:r>
          <w:r>
            <w:rPr>
              <w:color w:val="auto"/>
              <w:highlight w:val="none"/>
            </w:rPr>
            <w:instrText xml:space="preserve"> PAGEREF _Toc143701984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04EA52AC">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"_Toc143701985"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发展教育完善医疗</w:t>
          </w:r>
          <w:r>
            <w:rPr>
              <w:color w:val="auto"/>
              <w:highlight w:val="none"/>
            </w:rPr>
            <w:tab/>
          </w:r>
          <w:r>
            <w:rPr>
              <w:color w:val="auto"/>
              <w:highlight w:val="none"/>
            </w:rPr>
            <w:fldChar w:fldCharType="begin"/>
          </w:r>
          <w:r>
            <w:rPr>
              <w:color w:val="auto"/>
              <w:highlight w:val="none"/>
            </w:rPr>
            <w:instrText xml:space="preserve"> PAGEREF _Toc143701985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4DF521EF">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"_Toc143701986"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提升社会保障水平</w:t>
          </w:r>
          <w:r>
            <w:rPr>
              <w:color w:val="auto"/>
              <w:highlight w:val="none"/>
            </w:rPr>
            <w:tab/>
          </w:r>
          <w:r>
            <w:rPr>
              <w:color w:val="auto"/>
              <w:highlight w:val="none"/>
            </w:rPr>
            <w:fldChar w:fldCharType="begin"/>
          </w:r>
          <w:r>
            <w:rPr>
              <w:color w:val="auto"/>
              <w:highlight w:val="none"/>
            </w:rPr>
            <w:instrText xml:space="preserve"> PAGEREF _Toc143701986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42AC30D9">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"_Toc143701987" </w:instrText>
          </w:r>
          <w:r>
            <w:rPr>
              <w:color w:val="auto"/>
              <w:highlight w:val="none"/>
            </w:rPr>
            <w:fldChar w:fldCharType="separate"/>
          </w:r>
          <w:r>
            <w:rPr>
              <w:rStyle w:val="25"/>
              <w:rFonts w:hint="eastAsia"/>
              <w:color w:val="auto"/>
              <w:highlight w:val="none"/>
            </w:rPr>
            <w:t>第四节</w:t>
          </w:r>
          <w:r>
            <w:rPr>
              <w:rStyle w:val="25"/>
              <w:color w:val="auto"/>
              <w:highlight w:val="none"/>
            </w:rPr>
            <w:t xml:space="preserve"> </w:t>
          </w:r>
          <w:r>
            <w:rPr>
              <w:rStyle w:val="25"/>
              <w:rFonts w:hint="eastAsia"/>
              <w:color w:val="auto"/>
              <w:highlight w:val="none"/>
            </w:rPr>
            <w:t>丰富群众文体生活</w:t>
          </w:r>
          <w:r>
            <w:rPr>
              <w:color w:val="auto"/>
              <w:highlight w:val="none"/>
            </w:rPr>
            <w:tab/>
          </w:r>
          <w:r>
            <w:rPr>
              <w:color w:val="auto"/>
              <w:highlight w:val="none"/>
            </w:rPr>
            <w:fldChar w:fldCharType="begin"/>
          </w:r>
          <w:r>
            <w:rPr>
              <w:color w:val="auto"/>
              <w:highlight w:val="none"/>
            </w:rPr>
            <w:instrText xml:space="preserve"> PAGEREF _Toc143701987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34B37625">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"_Toc143701988" </w:instrText>
          </w:r>
          <w:r>
            <w:rPr>
              <w:color w:val="auto"/>
              <w:highlight w:val="none"/>
            </w:rPr>
            <w:fldChar w:fldCharType="separate"/>
          </w:r>
          <w:r>
            <w:rPr>
              <w:rStyle w:val="25"/>
              <w:rFonts w:hint="eastAsia"/>
              <w:color w:val="auto"/>
              <w:highlight w:val="none"/>
            </w:rPr>
            <w:t>第十章</w:t>
          </w:r>
          <w:r>
            <w:rPr>
              <w:rStyle w:val="25"/>
              <w:color w:val="auto"/>
              <w:highlight w:val="none"/>
            </w:rPr>
            <w:t xml:space="preserve"> </w:t>
          </w:r>
          <w:r>
            <w:rPr>
              <w:rStyle w:val="25"/>
              <w:rFonts w:hint="eastAsia"/>
              <w:color w:val="auto"/>
              <w:highlight w:val="none"/>
            </w:rPr>
            <w:t>深化改革篇</w:t>
          </w:r>
          <w:r>
            <w:rPr>
              <w:color w:val="auto"/>
              <w:highlight w:val="none"/>
            </w:rPr>
            <w:tab/>
          </w:r>
          <w:r>
            <w:rPr>
              <w:color w:val="auto"/>
              <w:highlight w:val="none"/>
            </w:rPr>
            <w:fldChar w:fldCharType="begin"/>
          </w:r>
          <w:r>
            <w:rPr>
              <w:color w:val="auto"/>
              <w:highlight w:val="none"/>
            </w:rPr>
            <w:instrText xml:space="preserve"> PAGEREF _Toc143701988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2E957C24">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"_Toc143701989"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深化行政体制改革</w:t>
          </w:r>
          <w:r>
            <w:rPr>
              <w:color w:val="auto"/>
              <w:highlight w:val="none"/>
            </w:rPr>
            <w:tab/>
          </w:r>
          <w:r>
            <w:rPr>
              <w:color w:val="auto"/>
              <w:highlight w:val="none"/>
            </w:rPr>
            <w:fldChar w:fldCharType="begin"/>
          </w:r>
          <w:r>
            <w:rPr>
              <w:color w:val="auto"/>
              <w:highlight w:val="none"/>
            </w:rPr>
            <w:instrText xml:space="preserve"> PAGEREF _Toc143701989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024E8F3D">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"_Toc143701990"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加强治理体系建设</w:t>
          </w:r>
          <w:r>
            <w:rPr>
              <w:color w:val="auto"/>
              <w:highlight w:val="none"/>
            </w:rPr>
            <w:tab/>
          </w:r>
          <w:r>
            <w:rPr>
              <w:color w:val="auto"/>
              <w:highlight w:val="none"/>
            </w:rPr>
            <w:fldChar w:fldCharType="begin"/>
          </w:r>
          <w:r>
            <w:rPr>
              <w:color w:val="auto"/>
              <w:highlight w:val="none"/>
            </w:rPr>
            <w:instrText xml:space="preserve"> PAGEREF _Toc143701990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3984931B">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"_Toc143701991" </w:instrText>
          </w:r>
          <w:r>
            <w:rPr>
              <w:color w:val="auto"/>
              <w:highlight w:val="none"/>
            </w:rPr>
            <w:fldChar w:fldCharType="separate"/>
          </w:r>
          <w:r>
            <w:rPr>
              <w:rStyle w:val="25"/>
              <w:rFonts w:hint="eastAsia"/>
              <w:color w:val="auto"/>
              <w:highlight w:val="none"/>
            </w:rPr>
            <w:t>第三节</w:t>
          </w:r>
          <w:r>
            <w:rPr>
              <w:rStyle w:val="25"/>
              <w:color w:val="auto"/>
              <w:highlight w:val="none"/>
            </w:rPr>
            <w:t xml:space="preserve"> </w:t>
          </w:r>
          <w:r>
            <w:rPr>
              <w:rStyle w:val="25"/>
              <w:rFonts w:hint="eastAsia"/>
              <w:color w:val="auto"/>
              <w:highlight w:val="none"/>
            </w:rPr>
            <w:t>推进法治南芬建设</w:t>
          </w:r>
          <w:r>
            <w:rPr>
              <w:color w:val="auto"/>
              <w:highlight w:val="none"/>
            </w:rPr>
            <w:tab/>
          </w:r>
          <w:r>
            <w:rPr>
              <w:color w:val="auto"/>
              <w:highlight w:val="none"/>
            </w:rPr>
            <w:fldChar w:fldCharType="begin"/>
          </w:r>
          <w:r>
            <w:rPr>
              <w:color w:val="auto"/>
              <w:highlight w:val="none"/>
            </w:rPr>
            <w:instrText xml:space="preserve"> PAGEREF _Toc143701991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5725D077">
          <w:pPr>
            <w:pStyle w:val="15"/>
            <w:tabs>
              <w:tab w:val="right" w:leader="dot" w:pos="8296"/>
            </w:tabs>
            <w:ind w:firstLine="56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"_Toc143701992" </w:instrText>
          </w:r>
          <w:r>
            <w:rPr>
              <w:color w:val="auto"/>
              <w:highlight w:val="none"/>
            </w:rPr>
            <w:fldChar w:fldCharType="separate"/>
          </w:r>
          <w:r>
            <w:rPr>
              <w:rStyle w:val="25"/>
              <w:rFonts w:hint="eastAsia"/>
              <w:color w:val="auto"/>
              <w:highlight w:val="none"/>
            </w:rPr>
            <w:t>第十一章</w:t>
          </w:r>
          <w:r>
            <w:rPr>
              <w:rStyle w:val="25"/>
              <w:color w:val="auto"/>
              <w:highlight w:val="none"/>
            </w:rPr>
            <w:t xml:space="preserve"> </w:t>
          </w:r>
          <w:r>
            <w:rPr>
              <w:rStyle w:val="25"/>
              <w:rFonts w:hint="eastAsia"/>
              <w:color w:val="auto"/>
              <w:highlight w:val="none"/>
            </w:rPr>
            <w:t>规划保障篇</w:t>
          </w:r>
          <w:r>
            <w:rPr>
              <w:color w:val="auto"/>
              <w:highlight w:val="none"/>
            </w:rPr>
            <w:tab/>
          </w:r>
          <w:r>
            <w:rPr>
              <w:color w:val="auto"/>
              <w:highlight w:val="none"/>
            </w:rPr>
            <w:fldChar w:fldCharType="begin"/>
          </w:r>
          <w:r>
            <w:rPr>
              <w:color w:val="auto"/>
              <w:highlight w:val="none"/>
            </w:rPr>
            <w:instrText xml:space="preserve"> PAGEREF _Toc143701992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031B3139">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"_Toc143701993" </w:instrText>
          </w:r>
          <w:r>
            <w:rPr>
              <w:color w:val="auto"/>
              <w:highlight w:val="none"/>
            </w:rPr>
            <w:fldChar w:fldCharType="separate"/>
          </w:r>
          <w:r>
            <w:rPr>
              <w:rStyle w:val="25"/>
              <w:rFonts w:hint="eastAsia"/>
              <w:color w:val="auto"/>
              <w:highlight w:val="none"/>
            </w:rPr>
            <w:t>第一节</w:t>
          </w:r>
          <w:r>
            <w:rPr>
              <w:rStyle w:val="25"/>
              <w:color w:val="auto"/>
              <w:highlight w:val="none"/>
            </w:rPr>
            <w:t xml:space="preserve"> </w:t>
          </w:r>
          <w:r>
            <w:rPr>
              <w:rStyle w:val="25"/>
              <w:rFonts w:hint="eastAsia"/>
              <w:color w:val="auto"/>
              <w:highlight w:val="none"/>
            </w:rPr>
            <w:t>加强党的全面领导</w:t>
          </w:r>
          <w:r>
            <w:rPr>
              <w:rStyle w:val="25"/>
              <w:color w:val="auto"/>
              <w:highlight w:val="none"/>
            </w:rPr>
            <w:t xml:space="preserve"> </w:t>
          </w:r>
          <w:r>
            <w:rPr>
              <w:rStyle w:val="25"/>
              <w:rFonts w:hint="eastAsia"/>
              <w:color w:val="auto"/>
              <w:highlight w:val="none"/>
            </w:rPr>
            <w:t>以高质量党建引领高质量发展</w:t>
          </w:r>
          <w:r>
            <w:rPr>
              <w:color w:val="auto"/>
              <w:highlight w:val="none"/>
            </w:rPr>
            <w:tab/>
          </w:r>
          <w:r>
            <w:rPr>
              <w:color w:val="auto"/>
              <w:highlight w:val="none"/>
            </w:rPr>
            <w:fldChar w:fldCharType="begin"/>
          </w:r>
          <w:r>
            <w:rPr>
              <w:color w:val="auto"/>
              <w:highlight w:val="none"/>
            </w:rPr>
            <w:instrText xml:space="preserve"> PAGEREF _Toc143701993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389EC0F4">
          <w:pPr>
            <w:pStyle w:val="17"/>
            <w:tabs>
              <w:tab w:val="right" w:leader="dot" w:pos="8296"/>
            </w:tabs>
            <w:ind w:left="560" w:firstLine="480"/>
            <w:rPr>
              <w:rFonts w:asciiTheme="minorHAnsi" w:hAnsiTheme="minorHAnsi" w:eastAsiaTheme="minorEastAsia" w:cstheme="minorBidi"/>
              <w:color w:val="auto"/>
              <w:kern w:val="2"/>
              <w:sz w:val="21"/>
              <w:szCs w:val="22"/>
              <w:highlight w:val="none"/>
            </w:rPr>
          </w:pPr>
          <w:r>
            <w:rPr>
              <w:color w:val="auto"/>
              <w:highlight w:val="none"/>
            </w:rPr>
            <w:fldChar w:fldCharType="begin"/>
          </w:r>
          <w:r>
            <w:rPr>
              <w:color w:val="auto"/>
              <w:highlight w:val="none"/>
            </w:rPr>
            <w:instrText xml:space="preserve"> HYPERLINK \l "_Toc143701994" </w:instrText>
          </w:r>
          <w:r>
            <w:rPr>
              <w:color w:val="auto"/>
              <w:highlight w:val="none"/>
            </w:rPr>
            <w:fldChar w:fldCharType="separate"/>
          </w:r>
          <w:r>
            <w:rPr>
              <w:rStyle w:val="25"/>
              <w:rFonts w:hint="eastAsia"/>
              <w:color w:val="auto"/>
              <w:highlight w:val="none"/>
            </w:rPr>
            <w:t>第二节</w:t>
          </w:r>
          <w:r>
            <w:rPr>
              <w:rStyle w:val="25"/>
              <w:color w:val="auto"/>
              <w:highlight w:val="none"/>
            </w:rPr>
            <w:t xml:space="preserve"> </w:t>
          </w:r>
          <w:r>
            <w:rPr>
              <w:rStyle w:val="25"/>
              <w:rFonts w:hint="eastAsia"/>
              <w:color w:val="auto"/>
              <w:highlight w:val="none"/>
            </w:rPr>
            <w:t>推进规划全面落实</w:t>
          </w:r>
          <w:r>
            <w:rPr>
              <w:rStyle w:val="25"/>
              <w:color w:val="auto"/>
              <w:highlight w:val="none"/>
            </w:rPr>
            <w:t xml:space="preserve"> </w:t>
          </w:r>
          <w:r>
            <w:rPr>
              <w:rStyle w:val="25"/>
              <w:rFonts w:hint="eastAsia"/>
              <w:color w:val="auto"/>
              <w:highlight w:val="none"/>
            </w:rPr>
            <w:t>以高标准执行确保取得高实效</w:t>
          </w:r>
          <w:r>
            <w:rPr>
              <w:color w:val="auto"/>
              <w:highlight w:val="none"/>
            </w:rPr>
            <w:tab/>
          </w:r>
          <w:r>
            <w:rPr>
              <w:color w:val="auto"/>
              <w:highlight w:val="none"/>
            </w:rPr>
            <w:fldChar w:fldCharType="begin"/>
          </w:r>
          <w:r>
            <w:rPr>
              <w:color w:val="auto"/>
              <w:highlight w:val="none"/>
            </w:rPr>
            <w:instrText xml:space="preserve"> PAGEREF _Toc143701994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20E4DC74">
          <w:pPr>
            <w:pStyle w:val="17"/>
            <w:ind w:left="560" w:firstLine="480"/>
            <w:rPr>
              <w:color w:val="auto"/>
              <w:highlight w:val="none"/>
            </w:rPr>
          </w:pPr>
          <w:r>
            <w:rPr>
              <w:color w:val="auto"/>
              <w:highlight w:val="none"/>
            </w:rPr>
            <w:fldChar w:fldCharType="end"/>
          </w:r>
        </w:p>
      </w:sdtContent>
    </w:sdt>
    <w:p w14:paraId="40DE01C1">
      <w:pPr>
        <w:ind w:firstLine="480"/>
        <w:rPr>
          <w:color w:val="auto"/>
          <w:sz w:val="2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20" w:footer="720" w:gutter="0"/>
          <w:cols w:space="720" w:num="1"/>
          <w:docGrid w:type="lines" w:linePitch="312" w:charSpace="0"/>
        </w:sectPr>
      </w:pPr>
    </w:p>
    <w:p w14:paraId="7B02286D">
      <w:pPr>
        <w:ind w:firstLine="560"/>
        <w:rPr>
          <w:color w:val="auto"/>
          <w:highlight w:val="none"/>
        </w:rPr>
      </w:pPr>
      <w:r>
        <w:rPr>
          <w:rFonts w:hint="eastAsia"/>
          <w:color w:val="auto"/>
          <w:highlight w:val="none"/>
        </w:rPr>
        <w:t>南芬区国民经济和社会发展第十四个五年(2021—2025年)规划纲要，是深入贯彻习近平新时代中国特色社会主义思想，全面贯彻党的二十大精神，开启全面建设社会主义现代化国家新征程、向第二个百年奋斗目标进军的第一个五年规划，主要阐明了未来五年经济社会发展的主要目标、重要任务和重大举措，是全区人民共同奋斗的行动准则。</w:t>
      </w:r>
    </w:p>
    <w:p w14:paraId="18D22ACA">
      <w:pPr>
        <w:pStyle w:val="3"/>
        <w:ind w:firstLine="643"/>
        <w:rPr>
          <w:color w:val="auto"/>
          <w:highlight w:val="none"/>
        </w:rPr>
      </w:pPr>
      <w:bookmarkStart w:id="0" w:name="_Toc143701948"/>
      <w:bookmarkStart w:id="1" w:name="_Toc55674649"/>
      <w:r>
        <w:rPr>
          <w:rFonts w:hint="eastAsia"/>
          <w:color w:val="auto"/>
          <w:highlight w:val="none"/>
        </w:rPr>
        <w:t>第一章 回顾展望篇</w:t>
      </w:r>
      <w:bookmarkEnd w:id="0"/>
      <w:bookmarkEnd w:id="1"/>
    </w:p>
    <w:p w14:paraId="69B975AB">
      <w:pPr>
        <w:ind w:firstLine="560"/>
        <w:rPr>
          <w:color w:val="auto"/>
          <w:highlight w:val="none"/>
        </w:rPr>
      </w:pPr>
      <w:r>
        <w:rPr>
          <w:rFonts w:hint="eastAsia"/>
          <w:color w:val="auto"/>
          <w:highlight w:val="none"/>
        </w:rPr>
        <w:t>“十三五”期间，我区深入贯彻落实党的十九大和十九届二中、三中、四中、五中全会精神，全面贯彻新发展理念，坚持稳中求进工作总基调，坚持以供给侧结构性改革为主线，统筹推进稳增长、促改革、调结构、惠民生、防风险各项工作。紧紧围绕“新南芬”建设三大跨越奋斗目标，深入实施“一城一区三基地”和特色发展先导区发展战略，加强和改善民生，全区经济和社会事业保持平稳健康发展，主要指标和工作任务完成情况总体良好，“十三五”规划实施取得成效。</w:t>
      </w:r>
    </w:p>
    <w:p w14:paraId="04EF9C00">
      <w:pPr>
        <w:pStyle w:val="4"/>
        <w:ind w:firstLine="643"/>
        <w:rPr>
          <w:color w:val="auto"/>
          <w:highlight w:val="none"/>
        </w:rPr>
      </w:pPr>
      <w:bookmarkStart w:id="2" w:name="_Toc143701949"/>
      <w:bookmarkStart w:id="3" w:name="_Toc55674650"/>
      <w:r>
        <w:rPr>
          <w:color w:val="auto"/>
          <w:highlight w:val="none"/>
        </w:rPr>
        <w:t>第一节</w:t>
      </w:r>
      <w:r>
        <w:rPr>
          <w:rFonts w:hint="eastAsia"/>
          <w:color w:val="auto"/>
          <w:highlight w:val="none"/>
        </w:rPr>
        <w:t xml:space="preserve"> “十三五”工作完成情况</w:t>
      </w:r>
      <w:bookmarkEnd w:id="2"/>
      <w:bookmarkEnd w:id="3"/>
    </w:p>
    <w:p w14:paraId="7DC1D1FB">
      <w:pPr>
        <w:ind w:firstLine="560"/>
        <w:rPr>
          <w:color w:val="auto"/>
          <w:highlight w:val="none"/>
        </w:rPr>
      </w:pPr>
      <w:r>
        <w:rPr>
          <w:rFonts w:hint="eastAsia"/>
          <w:color w:val="auto"/>
          <w:highlight w:val="none"/>
        </w:rPr>
        <w:t xml:space="preserve"> “十三五”期间，我们积极应对复杂多变形势，经济总量、质量、效益显著提升。地区生产总值年均增长7.55%。地方一般公共预算收入年均增长</w:t>
      </w:r>
      <w:r>
        <w:rPr>
          <w:color w:val="auto"/>
          <w:highlight w:val="none"/>
        </w:rPr>
        <w:t>21.59</w:t>
      </w:r>
      <w:r>
        <w:rPr>
          <w:rFonts w:hint="eastAsia"/>
          <w:color w:val="auto"/>
          <w:highlight w:val="none"/>
        </w:rPr>
        <w:t>%。固定资产投资年均增长4.61%。规模以上工业增加值年均增长13.99%。城镇居民人均可支配收入年均增长5.24%，城镇登记失业率控制在4.9%。</w:t>
      </w:r>
    </w:p>
    <w:p w14:paraId="671F7B46">
      <w:pPr>
        <w:ind w:firstLine="0" w:firstLineChars="0"/>
        <w:rPr>
          <w:color w:val="auto"/>
          <w:highlight w:val="none"/>
        </w:rPr>
      </w:pPr>
      <w:r>
        <w:rPr>
          <w:color w:val="auto"/>
          <w:highlight w:val="none"/>
        </w:rPr>
        <w:drawing>
          <wp:inline distT="0" distB="0" distL="0" distR="0">
            <wp:extent cx="5274310" cy="2940050"/>
            <wp:effectExtent l="0" t="0" r="2540" b="12700"/>
            <wp:docPr id="8"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B078A1">
      <w:pPr>
        <w:ind w:firstLine="560"/>
        <w:rPr>
          <w:color w:val="auto"/>
          <w:highlight w:val="none"/>
        </w:rPr>
      </w:pPr>
      <w:r>
        <w:rPr>
          <w:rFonts w:hint="eastAsia"/>
          <w:color w:val="auto"/>
          <w:highlight w:val="none"/>
        </w:rPr>
        <w:t>（一）农业产业深入发展初见成效</w:t>
      </w:r>
    </w:p>
    <w:p w14:paraId="1DE0FCC1">
      <w:pPr>
        <w:ind w:firstLine="560"/>
        <w:rPr>
          <w:color w:val="auto"/>
          <w:highlight w:val="none"/>
        </w:rPr>
      </w:pPr>
      <w:r>
        <w:rPr>
          <w:rFonts w:hint="eastAsia"/>
          <w:color w:val="auto"/>
          <w:highlight w:val="none"/>
        </w:rPr>
        <w:t>围绕优化农业产业结构，促进特色农业、绿色农业发展，全区农业产业基础不断夯实。粮食播种面积3.6万亩，年产量1.68万吨，蔬菜播种面积0.43万亩，年产量1.16万吨；养殖水面210亩，水产品年产量309吨，肉、蛋、奶年产量达到3075吨。加速推进传统种植业结构调整，调减玉米种植面积实现农业特色产业发展0.12万亩，经济作物种植面积2.65万亩。积极培育新型农业经营主体，生态旅游、畜禽养殖、特色中草药种植等一批项目开工建设。全力推进特色品牌建设，“南芬虹鳟鱼”获批国家地理标志保护产品。稳妥有序推进农村集体产权制度改革，23个村成立集体经济合作组织并完成赋码登记工作。积极培育新型农业经营主体，申报家庭农场45家，合作社45家。旅游沿线发展农家乐30多户，果蔬采摘园20家。新增观光油菜花种植面积150亩，露地食用菌130亩，软枣子面积110亩；养蜂达到2345箱蜂；促进绿色无公害特色农产品与乡村旅游结合，在南芬区深入推进一产和三产业融合发展。</w:t>
      </w:r>
    </w:p>
    <w:p w14:paraId="04A13E38">
      <w:pPr>
        <w:ind w:firstLine="0" w:firstLineChars="0"/>
        <w:rPr>
          <w:color w:val="auto"/>
          <w:highlight w:val="none"/>
        </w:rPr>
      </w:pPr>
      <w:r>
        <w:rPr>
          <w:color w:val="auto"/>
          <w:highlight w:val="none"/>
        </w:rPr>
        <w:drawing>
          <wp:inline distT="0" distB="0" distL="0" distR="0">
            <wp:extent cx="5238750" cy="3457575"/>
            <wp:effectExtent l="0" t="0" r="1905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14CC9C">
      <w:pPr>
        <w:ind w:firstLine="560"/>
        <w:rPr>
          <w:color w:val="auto"/>
          <w:highlight w:val="none"/>
        </w:rPr>
      </w:pPr>
      <w:r>
        <w:rPr>
          <w:rFonts w:hint="eastAsia"/>
          <w:color w:val="auto"/>
          <w:highlight w:val="none"/>
        </w:rPr>
        <w:t>（二）工业产业集群化发展初露端倪</w:t>
      </w:r>
    </w:p>
    <w:p w14:paraId="304C2429">
      <w:pPr>
        <w:ind w:firstLine="560"/>
        <w:rPr>
          <w:color w:val="auto"/>
          <w:highlight w:val="none"/>
        </w:rPr>
      </w:pPr>
      <w:r>
        <w:rPr>
          <w:rFonts w:hint="eastAsia"/>
          <w:color w:val="auto"/>
          <w:highlight w:val="none"/>
        </w:rPr>
        <w:t>大力实施“工业强区”战略，承接国内产业转移，工业规模化发展，初步形成产业链条。依托南芬人参铁资源，铸造企业向经济开发区集聚式发展；采选产业提档升级，绿色矿山、深井矿山陆续建设完成；新材料产业链条进一步拉长，发展势头初步显现。“十三五”期间，规模以上工业总产值完成28.7亿元（2020年数据按与2019年持平估算）。</w:t>
      </w:r>
    </w:p>
    <w:p w14:paraId="130D4F20">
      <w:pPr>
        <w:ind w:firstLine="562"/>
        <w:rPr>
          <w:color w:val="auto"/>
          <w:highlight w:val="none"/>
        </w:rPr>
      </w:pPr>
      <w:r>
        <w:rPr>
          <w:rFonts w:hint="eastAsia"/>
          <w:b/>
          <w:color w:val="auto"/>
          <w:highlight w:val="none"/>
        </w:rPr>
        <w:t>采选业实现提档升级。</w:t>
      </w:r>
      <w:r>
        <w:rPr>
          <w:rFonts w:hint="eastAsia"/>
          <w:color w:val="auto"/>
          <w:highlight w:val="none"/>
        </w:rPr>
        <w:t>深入实施“五矿共治”，打造绿色矿山。思山岭铁矿首阶段500万吨/年采选工程建主井贯通，进入平巷施工阶段，已实现铁精粉外销；聚鑫达矿业完成4.6318平方公里矿区扩界审批，5个采区均已采矿；思山岭云新矿业实施矿山扩界工程，露天开采转为地下采矿。完成东方沈家铁选厂升级改造、本溪中泰矿业选矿生产线工程、聚鑫达矿业年产120万吨铁精粉生产线工程和本溪富新源铁精粉加工干选生产线工程建设，实现了铁选企业进一步释放产能；积极打造南芬铸造生铁品牌注册，聚鑫达机械制造注册的“JXD”牌铸造生铁被评为辽宁省名牌产品。铁矿采选业产能得到极大释放，并通过钢地合作，融入本溪钢铁产业链条。</w:t>
      </w:r>
    </w:p>
    <w:p w14:paraId="2FC2FB5F">
      <w:pPr>
        <w:ind w:firstLine="562"/>
        <w:rPr>
          <w:color w:val="auto"/>
          <w:highlight w:val="none"/>
        </w:rPr>
      </w:pPr>
      <w:r>
        <w:rPr>
          <w:rFonts w:hint="eastAsia"/>
          <w:b/>
          <w:color w:val="auto"/>
          <w:highlight w:val="none"/>
        </w:rPr>
        <w:t>铸造业迈向集群发展。</w:t>
      </w:r>
      <w:r>
        <w:rPr>
          <w:rFonts w:hint="eastAsia"/>
          <w:color w:val="auto"/>
          <w:highlight w:val="none"/>
        </w:rPr>
        <w:t>按照“精品化、绿色化、智能化”发展方向，全面融入本溪“钢都”战略发展规划，充分发挥优质人参铁优势，以本溪聚鑫达机械制造有限公司为龙头，引进了聚鑫达重工机械、聚鑫达铸造科技、天宇高科冶金铸造和鑫众达机械轧辊有限公司等铸造企业入驻园区，全区铸造企业达到12家。实施了机床床身铸件加工生产线、年产3万吨高炉冷却设备、冶金轧辊等项目。依托开发区标准化厂房，大力实施产业链招商，引进了补链强链的配套项目，促进了铸造产业提档升级，提高园区产业丰满度，加快铸造产业集群式发展。实现产业布局由“散”到“聚”，产业规模由“小”到“大”的转变。</w:t>
      </w:r>
    </w:p>
    <w:p w14:paraId="574B9135">
      <w:pPr>
        <w:ind w:firstLine="562"/>
        <w:rPr>
          <w:color w:val="auto"/>
          <w:highlight w:val="none"/>
        </w:rPr>
      </w:pPr>
      <w:r>
        <w:rPr>
          <w:rFonts w:hint="eastAsia"/>
          <w:b/>
          <w:color w:val="auto"/>
          <w:highlight w:val="none"/>
        </w:rPr>
        <w:t>新材料优势初步释放。</w:t>
      </w:r>
      <w:r>
        <w:rPr>
          <w:rFonts w:hint="eastAsia"/>
          <w:color w:val="auto"/>
          <w:highlight w:val="none"/>
        </w:rPr>
        <w:t>围绕方解石及硅石资源优势，着力推进新材料产业，制定了南芬区“新材料”产业发展规划，成立了沈阳化工大学本溪先进材料研究院，推进了枫叶矿产年产7万吨超细碳酸钙粉项目、星光硅质日产5000吨精致石英砂项目、东诚硅石加工扩建项目、昌泰石材技改项目和百兴粉体技改项目建设，进一步扩大了产业发展规模。</w:t>
      </w:r>
    </w:p>
    <w:p w14:paraId="18DE89FD">
      <w:pPr>
        <w:ind w:firstLine="562"/>
        <w:rPr>
          <w:color w:val="auto"/>
          <w:highlight w:val="none"/>
        </w:rPr>
      </w:pPr>
      <w:r>
        <w:rPr>
          <w:rFonts w:hint="eastAsia"/>
          <w:b/>
          <w:bCs/>
          <w:color w:val="auto"/>
          <w:highlight w:val="none"/>
        </w:rPr>
        <w:t>科技创新取得新突破。</w:t>
      </w:r>
      <w:r>
        <w:rPr>
          <w:rFonts w:hint="eastAsia"/>
          <w:color w:val="auto"/>
          <w:highlight w:val="none"/>
        </w:rPr>
        <w:t>辽宁东铄新材料科技有限公司、本溪鑫众达机械轧辊有限公司成功申报为国家高新技术企业；双金锯业、泰家木业等9家企业申报科技型中小企业；辽砚产业园成为全市唯一获准的省级众创空间并获得省级科技资金扶持；校企合作得到实质性推进，与东北大学、沈阳化工大学等一批知名高校形成良性互动，经济开发区研发检测中心服务能力进一步增强。</w:t>
      </w:r>
    </w:p>
    <w:p w14:paraId="160F844A">
      <w:pPr>
        <w:ind w:firstLine="0" w:firstLineChars="0"/>
        <w:rPr>
          <w:color w:val="auto"/>
          <w:highlight w:val="none"/>
        </w:rPr>
      </w:pPr>
      <w:r>
        <w:rPr>
          <w:color w:val="auto"/>
          <w:highlight w:val="none"/>
        </w:rPr>
        <w:drawing>
          <wp:inline distT="0" distB="0" distL="0" distR="0">
            <wp:extent cx="5286375" cy="3457575"/>
            <wp:effectExtent l="0" t="0" r="9525" b="9525"/>
            <wp:docPr id="5"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06F513">
      <w:pPr>
        <w:ind w:firstLine="560"/>
        <w:rPr>
          <w:color w:val="auto"/>
          <w:highlight w:val="none"/>
        </w:rPr>
      </w:pPr>
      <w:r>
        <w:rPr>
          <w:rFonts w:hint="eastAsia"/>
          <w:color w:val="auto"/>
          <w:highlight w:val="none"/>
        </w:rPr>
        <w:t>（三）服务业多业态融合发展</w:t>
      </w:r>
    </w:p>
    <w:p w14:paraId="470679D5">
      <w:pPr>
        <w:ind w:firstLine="562"/>
        <w:rPr>
          <w:color w:val="auto"/>
          <w:highlight w:val="none"/>
        </w:rPr>
      </w:pPr>
      <w:r>
        <w:rPr>
          <w:rFonts w:hint="eastAsia"/>
          <w:b/>
          <w:color w:val="auto"/>
          <w:highlight w:val="none"/>
        </w:rPr>
        <w:t>旅游市场持续发展。</w:t>
      </w:r>
      <w:r>
        <w:rPr>
          <w:rFonts w:hint="eastAsia"/>
          <w:color w:val="auto"/>
          <w:highlight w:val="none"/>
        </w:rPr>
        <w:t>以全域旅游示范区创建为目标，完成南芬旅游业发展总体规划，实施全域旅游提质升级工程。成功引进本溪市城区内最大旅游项目——青云山景区项目，大冰沟全面建成并晋升为4A级景区，大峡谷景区打造冒险主题公园，建成“东北第一吊桥”，成为本溪第一“网红”景点，与辽砚产业园一同晋升为</w:t>
      </w:r>
      <w:r>
        <w:rPr>
          <w:color w:val="auto"/>
          <w:highlight w:val="none"/>
        </w:rPr>
        <w:t>4</w:t>
      </w:r>
      <w:r>
        <w:rPr>
          <w:rFonts w:hint="eastAsia"/>
          <w:color w:val="auto"/>
          <w:highlight w:val="none"/>
        </w:rPr>
        <w:t>A级景区。乡村旅游得到全面发展。建成乡村旅游示范村11个，新建星级农家乐30家、民宿12家。旅游配套服务业乘势而起，建成三星级标准度假酒店1家，餐饮业户116家。新建游客接待中心1处，2019年接待游客403万人次，同比增长12%，旅游业总收入实现3.92亿元，同比增长15%，旅游业平稳向好发展。</w:t>
      </w:r>
    </w:p>
    <w:p w14:paraId="1B246429">
      <w:pPr>
        <w:ind w:firstLine="562"/>
        <w:rPr>
          <w:color w:val="auto"/>
          <w:highlight w:val="none"/>
        </w:rPr>
      </w:pPr>
      <w:r>
        <w:rPr>
          <w:rFonts w:hint="eastAsia"/>
          <w:b/>
          <w:color w:val="auto"/>
          <w:highlight w:val="none"/>
        </w:rPr>
        <w:t>文化产业持续兴旺。</w:t>
      </w:r>
      <w:r>
        <w:rPr>
          <w:rFonts w:hint="eastAsia"/>
          <w:color w:val="auto"/>
          <w:highlight w:val="none"/>
        </w:rPr>
        <w:t>辽砚产业园建成集博物馆、会展中心、检测中心于一体的综合性产业基地。辽砚成功注册地理标志证明商标、国家地理保护标志产品。先后举办五届辽砚文化节，并作为辽宁文化名片，亮相新中国成立70周年辽宁专场新闻发布会，从业者获中国宝石类最高奖项“天工奖”。成功引进中金欧亚集团合作开发辽砚文化风情小镇项目，辽砚产业活力进一步积蓄释放。成功举办了“中国本溪第三届财神文化论坛暨两岸三地首届《论语》会讲活动”，文化影响力逐步增强。成功引进衍水文化传媒公司，文化产业向新兴业态发展迈出新步伐。</w:t>
      </w:r>
    </w:p>
    <w:p w14:paraId="31B9E364">
      <w:pPr>
        <w:ind w:firstLine="562"/>
        <w:rPr>
          <w:color w:val="auto"/>
          <w:highlight w:val="none"/>
        </w:rPr>
      </w:pPr>
      <w:r>
        <w:rPr>
          <w:rFonts w:hint="eastAsia"/>
          <w:b/>
          <w:color w:val="auto"/>
          <w:highlight w:val="none"/>
        </w:rPr>
        <w:t>其他服务业亮点纷呈。</w:t>
      </w:r>
      <w:r>
        <w:rPr>
          <w:rFonts w:hint="eastAsia"/>
          <w:color w:val="auto"/>
          <w:highlight w:val="none"/>
        </w:rPr>
        <w:t>“十三五”期间，金融业快速发展。南芬农村信用联社升级转制为南芬农村商业银行，成为全省唯一区级农商行；成功引入丰泰村镇银行，对区内小微企业及农户、个体户等的金融服务灵活性进一步增强，区内金融业活力进一步被激发。4G通讯行业快速普及，电商业初露锋芒，物流业逐渐形成规模。</w:t>
      </w:r>
    </w:p>
    <w:p w14:paraId="18EEB089">
      <w:pPr>
        <w:ind w:firstLine="560"/>
        <w:rPr>
          <w:color w:val="auto"/>
          <w:highlight w:val="none"/>
        </w:rPr>
      </w:pPr>
    </w:p>
    <w:p w14:paraId="7A6F3C76">
      <w:pPr>
        <w:ind w:firstLine="0" w:firstLineChars="0"/>
        <w:rPr>
          <w:color w:val="auto"/>
          <w:highlight w:val="none"/>
        </w:rPr>
      </w:pPr>
      <w:r>
        <w:rPr>
          <w:color w:val="auto"/>
          <w:highlight w:val="none"/>
        </w:rPr>
        <w:drawing>
          <wp:inline distT="0" distB="0" distL="0" distR="0">
            <wp:extent cx="5276850" cy="3457575"/>
            <wp:effectExtent l="0" t="0" r="0" b="9525"/>
            <wp:docPr id="1"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B28BCE">
      <w:pPr>
        <w:ind w:firstLine="560"/>
        <w:rPr>
          <w:color w:val="auto"/>
          <w:highlight w:val="none"/>
        </w:rPr>
      </w:pPr>
      <w:r>
        <w:rPr>
          <w:rFonts w:hint="eastAsia"/>
          <w:color w:val="auto"/>
          <w:highlight w:val="none"/>
        </w:rPr>
        <w:t>（四）城乡建设成效显著</w:t>
      </w:r>
    </w:p>
    <w:p w14:paraId="33E4A50B">
      <w:pPr>
        <w:ind w:firstLine="562"/>
        <w:rPr>
          <w:color w:val="auto"/>
          <w:highlight w:val="none"/>
        </w:rPr>
      </w:pPr>
      <w:r>
        <w:rPr>
          <w:rFonts w:hint="eastAsia"/>
          <w:b/>
          <w:color w:val="auto"/>
          <w:highlight w:val="none"/>
        </w:rPr>
        <w:t>城区面貌焕然一新。</w:t>
      </w:r>
      <w:r>
        <w:rPr>
          <w:rFonts w:hint="eastAsia"/>
          <w:color w:val="auto"/>
          <w:highlight w:val="none"/>
        </w:rPr>
        <w:t>国家独立工矿区改造搬迁政策实施项目25个，总投资12.5亿元，争取中央预算内资金2.9亿元。改造和新建道路217公里、桥梁30座，完成集中供热设施建设，水、电、暖、气、通讯等基础配套设施得到持续改善。主城区棚户区改造稳步推进；老旧小区及南山早期棚户区完成改造；铁山“暖房子”工程建设顺利，城区基础设施和公共服务设施“盲点”基本补齐，城市功能逐步完善。推进智慧城市数字中心建设，率先建成了全省第一家智慧党建展示体验馆—南芬智慧先锋党建服务与体验中心，城区品位逐步提升。开展城市环境综合整治三年行动，拆除违法占地建筑8200余平方米，整治各类户外广告800余处，进一步增强居民幸福感。</w:t>
      </w:r>
    </w:p>
    <w:p w14:paraId="2C38754B">
      <w:pPr>
        <w:ind w:firstLine="562"/>
        <w:rPr>
          <w:color w:val="auto"/>
          <w:highlight w:val="none"/>
        </w:rPr>
      </w:pPr>
      <w:r>
        <w:rPr>
          <w:rFonts w:hint="eastAsia"/>
          <w:b/>
          <w:bCs/>
          <w:color w:val="auto"/>
          <w:highlight w:val="none"/>
        </w:rPr>
        <w:t>城乡交通不断完善。</w:t>
      </w:r>
      <w:r>
        <w:rPr>
          <w:rFonts w:hint="eastAsia"/>
          <w:color w:val="auto"/>
          <w:highlight w:val="none"/>
        </w:rPr>
        <w:t>完成道路建设165公里，其中改扩建项目21.1公里，维修改造项目30.9公里，一事一议工程110公里以及安防及小修保养工程，郭家街道办事处成功荣获2019年省级“四好农村路”示范乡荣誉称号，并获得上级奖补资金50万元。完成交通总体规划编制，甬南线、新材料产业大道、细河产业大道、施小线维修改造等道路工程竣工通车，“一纵两横三环”的交通网络进一步联通。初步实现产城融合，产业转型与城镇建设的良性互动。</w:t>
      </w:r>
    </w:p>
    <w:p w14:paraId="795B21DC">
      <w:pPr>
        <w:ind w:firstLine="562"/>
        <w:rPr>
          <w:color w:val="auto"/>
          <w:highlight w:val="none"/>
        </w:rPr>
      </w:pPr>
      <w:r>
        <w:rPr>
          <w:rFonts w:hint="eastAsia"/>
          <w:b/>
          <w:bCs/>
          <w:color w:val="auto"/>
          <w:highlight w:val="none"/>
        </w:rPr>
        <w:t>宜居乡村建设取得进展。</w:t>
      </w:r>
      <w:r>
        <w:rPr>
          <w:rFonts w:hint="eastAsia"/>
          <w:color w:val="auto"/>
          <w:highlight w:val="none"/>
        </w:rPr>
        <w:t>深入实施“美丽乡村”建设，加大农村环境卫生整治力度，实现农村垃圾城乡一体化处理。推行垃圾分类收集减量化、资源化、无害化处理。围绕“千村美丽，万村整洁”总体规划目标，深入实施“美丽乡村”建设，甬子峪村获批为中国少数民族特色村寨，解放村获评省级美丽示范村。制定了农村环境综合整治实施方案，开展了农村环境卫生集中整治工作，实施农村厕所革命，统筹推进农村改厕与农村生活污水处理，完成农户改厕1008座，建设垃圾中转站11个，推行垃圾就地分类和资源化利用强化垃圾资源回收体系建设；强化农村保洁员队伍建设，建立了有制度、有队伍、有设施、有经费的农村环境治理体系，实现农村环境常态化管理。实施亮化工程，修建路灯600盏；完成农村饮水安全巩固提升工程16处，农村集中供水率达到93%，自来水普及率达到92%，水质达标率100%。</w:t>
      </w:r>
    </w:p>
    <w:p w14:paraId="5AE1BA86">
      <w:pPr>
        <w:ind w:firstLine="562"/>
        <w:rPr>
          <w:color w:val="auto"/>
          <w:highlight w:val="none"/>
        </w:rPr>
      </w:pPr>
      <w:r>
        <w:rPr>
          <w:rFonts w:hint="eastAsia"/>
          <w:b/>
          <w:color w:val="auto"/>
          <w:highlight w:val="none"/>
        </w:rPr>
        <w:t>生态环境持续向好。</w:t>
      </w:r>
      <w:r>
        <w:rPr>
          <w:rFonts w:hint="eastAsia"/>
          <w:color w:val="auto"/>
          <w:highlight w:val="none"/>
        </w:rPr>
        <w:t>把生态文明建设摆在突出位置，全面实施“生态立区”战略，贯彻落实《本溪市生态立区条例》，编制《生态立区“十四五”规划》。全面整改完成2017年中央</w:t>
      </w:r>
      <w:r>
        <w:rPr>
          <w:rFonts w:hint="eastAsia"/>
          <w:color w:val="auto"/>
          <w:highlight w:val="none"/>
          <w:lang w:eastAsia="zh-CN"/>
        </w:rPr>
        <w:t>环保督察</w:t>
      </w:r>
      <w:r>
        <w:rPr>
          <w:rFonts w:hint="eastAsia"/>
          <w:color w:val="auto"/>
          <w:highlight w:val="none"/>
        </w:rPr>
        <w:t>群众举报案件26件和2018年回头看期间群众举报20件，完成率100%。污染防治取得扎实成效，蓝天、碧水、青山、净土和农村环境治理成果持续巩固提升；认真贯彻落实河长制，制定“一河一策”管理和保护方案及相关制度；淘汰落后产能企业21家。持续开展污染物减排工作，主要空气污染物指标逐年递减2%，生活污水处理率达到90%以上。空气质量达标天数 283天/年，细河尚家桥、三道河红庙子断面达标率100%、调水工程取水口断面环境功能区水质达标率100%。</w:t>
      </w:r>
    </w:p>
    <w:p w14:paraId="133E8494">
      <w:pPr>
        <w:ind w:firstLine="560"/>
        <w:rPr>
          <w:color w:val="auto"/>
          <w:highlight w:val="none"/>
        </w:rPr>
      </w:pPr>
      <w:r>
        <w:rPr>
          <w:rFonts w:hint="eastAsia"/>
          <w:color w:val="auto"/>
          <w:highlight w:val="none"/>
        </w:rPr>
        <w:t>（五）社会事业全面发展</w:t>
      </w:r>
    </w:p>
    <w:p w14:paraId="0C03A316">
      <w:pPr>
        <w:ind w:firstLine="562"/>
        <w:rPr>
          <w:color w:val="auto"/>
          <w:highlight w:val="none"/>
        </w:rPr>
      </w:pPr>
      <w:r>
        <w:rPr>
          <w:rFonts w:hint="eastAsia"/>
          <w:b/>
          <w:color w:val="auto"/>
          <w:highlight w:val="none"/>
        </w:rPr>
        <w:t>深化体制机制改革。</w:t>
      </w:r>
      <w:r>
        <w:rPr>
          <w:rFonts w:hint="eastAsia"/>
          <w:color w:val="auto"/>
          <w:highlight w:val="none"/>
        </w:rPr>
        <w:t>新建政务服务中心，规范办事流程，编制《南芬区政务服务事项目录》。深化“放管服”改革，对全区26个部门共2977项政务服务事项进行了重新核定。落实“四减”要求，形成南芬区需保留事项清单和证明事项取消目录。在南芬区全面推进“最多跑一次”制度改革，细致制定“马上办、网上办、就近办、一次办”政务服务目录，在工作中按照“应上尽上”原则，将全区依申请事项和公共服务事项全部纳入一体化在线服务平台，同时梳理100个高频事项“最多跑一次”清单，网上可办率达100%。深化工程建设项目审批制度改革，进一步优化再造审批流程，将工程建设审批时间压缩至59个工作日，不动产登记实现5天办结。深化商事制度改革，企业开办时间由7天压缩到1.5天，市场主体同比增长14.5%。构建“亲”“清”政商关系，坚持企业评议部门制度，组织企业对区政府部门进行评议，满意率达100%。已为全区规上企业、小升规企业和重点企业配备项目管家，覆盖率达100%。推进全区事业单位改革，制定了“三定”方案。不折不扣落实减税降费政策，减免各类税费7376万元（营商局提供的2019年1月至2020年11月份数据）。</w:t>
      </w:r>
    </w:p>
    <w:p w14:paraId="1FF076EB">
      <w:pPr>
        <w:ind w:firstLine="562"/>
        <w:rPr>
          <w:color w:val="auto"/>
          <w:highlight w:val="none"/>
        </w:rPr>
      </w:pPr>
      <w:r>
        <w:rPr>
          <w:rFonts w:hint="eastAsia"/>
          <w:b/>
          <w:color w:val="auto"/>
          <w:highlight w:val="none"/>
        </w:rPr>
        <w:t>教育卫生事业长足进步。</w:t>
      </w:r>
      <w:r>
        <w:rPr>
          <w:rFonts w:hint="eastAsia"/>
          <w:color w:val="auto"/>
          <w:highlight w:val="none"/>
        </w:rPr>
        <w:t>扎实开展学前教育、基础教育、校外教育工作，义教均衡发展工作以全省第一的成绩通过国检验收；全区“普惠性”幼儿园覆盖率达到每个办事处一所，毛入园率达97.9%；落实“两免四补”政策；完成了4所小学维修改造工程，充分发掘学校人文资源，构建学校办学特色，形成了“一校一品”的发展格局。基本医疗卫生服务体系得到完善，建成中医馆4个、数字化接种门诊3个、急救转运站1个，改造村卫生室18个。</w:t>
      </w:r>
    </w:p>
    <w:p w14:paraId="3D150486">
      <w:pPr>
        <w:ind w:firstLine="562"/>
        <w:rPr>
          <w:color w:val="auto"/>
          <w:highlight w:val="none"/>
        </w:rPr>
      </w:pPr>
      <w:r>
        <w:rPr>
          <w:rFonts w:hint="eastAsia"/>
          <w:b/>
          <w:color w:val="auto"/>
          <w:highlight w:val="none"/>
        </w:rPr>
        <w:t>文化活力不断增强。</w:t>
      </w:r>
      <w:r>
        <w:rPr>
          <w:rFonts w:hint="eastAsia"/>
          <w:color w:val="auto"/>
          <w:highlight w:val="none"/>
        </w:rPr>
        <w:t>持续开展细河文化长廊和百姓联动大舞台活动，推动基层文化事业繁荣发展，组建文体团队，举办各类文化活动200余场次；文艺作品收获丰硕，出版小说、散文集、诗集等文学作品30余部，原创音乐作品100余首，书画、摄影、剪纸作品获得市级以上奖项70余次；桃花诗会、新春祝福进万家、百姓大舞台等文化品牌效应进一步突显。文化惠民工程全面推进，在城区腹地建设人民广场百姓大舞台；完成6个社区（村）级基层文化服务中心和3个街道综合文化站建设；建设改造辽宁省“村级文化示范广场”11个。加大文物和非物质文化遗产保护力度，全区八处明长城遗迹被评为省级文物保护单位，填补了省级文保单位空白。完成了市级文物保护单位——思山岭翁家大院门房屋面维修工程。南芬区图书馆建设完成并投入使用，馆藏图书20000余册。</w:t>
      </w:r>
    </w:p>
    <w:p w14:paraId="0F08D2FE">
      <w:pPr>
        <w:ind w:firstLine="562"/>
        <w:rPr>
          <w:color w:val="auto"/>
          <w:highlight w:val="none"/>
        </w:rPr>
      </w:pPr>
      <w:r>
        <w:rPr>
          <w:rFonts w:hint="eastAsia"/>
          <w:b/>
          <w:color w:val="auto"/>
          <w:highlight w:val="none"/>
        </w:rPr>
        <w:t>社会保障进一步完善。</w:t>
      </w:r>
      <w:r>
        <w:rPr>
          <w:rFonts w:hint="eastAsia"/>
          <w:color w:val="auto"/>
          <w:highlight w:val="none"/>
        </w:rPr>
        <w:t>打赢精准脱贫攻坚战，全区建档立卡贫困户304户541人全部脱贫，确保实现了“两不愁、三保障”。扩大就业空间，提高就业质量，全区高校毕业生就业率达86%，累计城镇新增就业7545人，城镇登记失业率控制在4.9%以内。高标准完成国家级社会救助综合改革试点、省级城乡低保指标认证体系改革试点建设，城乡居民低保标准稳步提升。全面落实城乡居民养老保险和失地农民养老保险制度，两项政策惠及8500余人，财政配套投入1700余万元。全面整合城乡居民基本医疗保险制度，完成职工基本医疗保险与生育保险合并实施。建立了退役军人服务保障机构，完善了工作运行体系，服务保障能力得到了明显提升。</w:t>
      </w:r>
    </w:p>
    <w:p w14:paraId="4D015B87">
      <w:pPr>
        <w:ind w:firstLine="562"/>
        <w:rPr>
          <w:color w:val="auto"/>
          <w:highlight w:val="none"/>
        </w:rPr>
      </w:pPr>
      <w:r>
        <w:rPr>
          <w:rFonts w:hint="eastAsia"/>
          <w:b/>
          <w:color w:val="auto"/>
          <w:highlight w:val="none"/>
        </w:rPr>
        <w:t>重大风险有效化解。</w:t>
      </w:r>
      <w:r>
        <w:rPr>
          <w:rFonts w:hint="eastAsia"/>
          <w:color w:val="auto"/>
          <w:highlight w:val="none"/>
        </w:rPr>
        <w:t>面对全球性新冠肺炎疫情，落实联防联控、群防群控、闭环管控等各项措施，完成本钢南芬医院发热门诊建设，疫情防控取得“零感染”的重大阶段性成果，公共卫生防控救治能力得到显著提升。切实强化政府债务管理，加强金融风险监控，实现风险可控。按时到位城镇企业职工养老保险县区财政补助和省养老保险风险基金5659.8万元，确保养老金按时足额发放。绷紧安全生产之弦，扎实开展全区安全生产专项整治三年行动，加强应急救援队伍建设，强化应急管理装备技术支撑，提升应急救援和处置能力。扎实开展防汛抗旱和森林防灭火工作，实现了“两个为零，一个最低”的目标。</w:t>
      </w:r>
    </w:p>
    <w:p w14:paraId="6E1B4169">
      <w:pPr>
        <w:ind w:firstLine="562"/>
        <w:rPr>
          <w:color w:val="auto"/>
          <w:highlight w:val="none"/>
        </w:rPr>
      </w:pPr>
      <w:r>
        <w:rPr>
          <w:rFonts w:hint="eastAsia"/>
          <w:b/>
          <w:color w:val="auto"/>
          <w:highlight w:val="none"/>
        </w:rPr>
        <w:t>社会持续和谐稳定。</w:t>
      </w:r>
      <w:r>
        <w:rPr>
          <w:rFonts w:hint="eastAsia"/>
          <w:color w:val="auto"/>
          <w:highlight w:val="none"/>
        </w:rPr>
        <w:t>纵深推进扫黑除恶专项斗争，成功侦破了一批大案、要案，有力形成高压震慑，维护了社会治安稳定。严厉打击非法集资等违法金融活动，强化互联网金融专项整治，群众防范电信诈骗意识明显增强。全面化解信访陈案、积案，社会矛盾得到有效纾解。认真贯彻执行“十三五”普法规划，全民法治意识进一步提升。</w:t>
      </w:r>
    </w:p>
    <w:p w14:paraId="2DED7AE4">
      <w:pPr>
        <w:ind w:firstLine="560"/>
        <w:rPr>
          <w:color w:val="auto"/>
          <w:highlight w:val="none"/>
        </w:rPr>
      </w:pPr>
      <w:r>
        <w:rPr>
          <w:rFonts w:hint="eastAsia"/>
          <w:color w:val="auto"/>
          <w:highlight w:val="none"/>
        </w:rPr>
        <w:t>（六）存在不足之处</w:t>
      </w:r>
    </w:p>
    <w:p w14:paraId="36C8361A">
      <w:pPr>
        <w:ind w:firstLine="560"/>
        <w:rPr>
          <w:color w:val="auto"/>
          <w:highlight w:val="none"/>
        </w:rPr>
      </w:pPr>
      <w:r>
        <w:rPr>
          <w:rFonts w:hint="eastAsia"/>
          <w:color w:val="auto"/>
          <w:highlight w:val="none"/>
        </w:rPr>
        <w:t>“十三五”时期，南芬区经济社会发展虽然取得显著成就，但更要清醒地看到，进入新发展阶段，仍然存在一些不足之处亟需解决。</w:t>
      </w:r>
    </w:p>
    <w:p w14:paraId="20F8C9D0">
      <w:pPr>
        <w:ind w:firstLine="562"/>
        <w:rPr>
          <w:color w:val="auto"/>
          <w:highlight w:val="none"/>
        </w:rPr>
      </w:pPr>
      <w:r>
        <w:rPr>
          <w:rFonts w:hint="eastAsia"/>
          <w:b/>
          <w:bCs/>
          <w:color w:val="auto"/>
          <w:highlight w:val="none"/>
        </w:rPr>
        <w:t>工业产业发育度依然不高。</w:t>
      </w:r>
      <w:r>
        <w:rPr>
          <w:rFonts w:hint="eastAsia"/>
          <w:color w:val="auto"/>
          <w:highlight w:val="none"/>
        </w:rPr>
        <w:t>十三五期间铸造及新材料行业在产值产量方面有了较大增长，但铸造行业仍以铸造用生铁为主要产品，各类铸件占比依然较低；新材料行业仍以硅粉、方解石粉为主要产品，资源优势没有转化为附加值优势。</w:t>
      </w:r>
    </w:p>
    <w:p w14:paraId="284A734F">
      <w:pPr>
        <w:ind w:firstLine="562"/>
        <w:rPr>
          <w:color w:val="auto"/>
          <w:highlight w:val="none"/>
        </w:rPr>
      </w:pPr>
      <w:r>
        <w:rPr>
          <w:rFonts w:hint="eastAsia"/>
          <w:b/>
          <w:bCs/>
          <w:color w:val="auto"/>
          <w:highlight w:val="none"/>
        </w:rPr>
        <w:t>文旅产业整体性依然不强。</w:t>
      </w:r>
      <w:r>
        <w:rPr>
          <w:rFonts w:hint="eastAsia"/>
          <w:color w:val="auto"/>
          <w:highlight w:val="none"/>
        </w:rPr>
        <w:t>大冰沟、大峡谷等景区的开发运营为我区文旅产业注入了巨大活力。但各主要景区均为点状开发，空间上缺乏联系，产业链上缺乏互动，产业基础设施建设相对薄弱。</w:t>
      </w:r>
    </w:p>
    <w:p w14:paraId="280728BA">
      <w:pPr>
        <w:ind w:firstLine="562"/>
        <w:rPr>
          <w:color w:val="auto"/>
          <w:highlight w:val="none"/>
        </w:rPr>
      </w:pPr>
      <w:r>
        <w:rPr>
          <w:rFonts w:hint="eastAsia"/>
          <w:b/>
          <w:bCs/>
          <w:color w:val="auto"/>
          <w:highlight w:val="none"/>
        </w:rPr>
        <w:t>交通运输瓶颈依然存在。</w:t>
      </w:r>
      <w:r>
        <w:rPr>
          <w:rFonts w:hint="eastAsia"/>
          <w:color w:val="auto"/>
          <w:highlight w:val="none"/>
        </w:rPr>
        <w:t>十三五期间我区内部道路及对外连接通道建设取得了一定成就，但随着工业和文旅产业大发展，工业运输、文旅运输、民生运输三方杂糅，互相干扰现象凸显，并成为主要问题。</w:t>
      </w:r>
    </w:p>
    <w:p w14:paraId="64915692">
      <w:pPr>
        <w:ind w:firstLine="562"/>
        <w:rPr>
          <w:color w:val="auto"/>
          <w:highlight w:val="none"/>
        </w:rPr>
      </w:pPr>
      <w:r>
        <w:rPr>
          <w:rFonts w:hint="eastAsia"/>
          <w:b/>
          <w:bCs/>
          <w:color w:val="auto"/>
          <w:highlight w:val="none"/>
        </w:rPr>
        <w:t>民生领域短板依然存在。</w:t>
      </w:r>
      <w:r>
        <w:rPr>
          <w:rFonts w:hint="eastAsia"/>
          <w:color w:val="auto"/>
          <w:highlight w:val="none"/>
        </w:rPr>
        <w:t>通过十三五期间建设，我区各项民生事业“盲点”基本补齐，公共服务能力可满足基本生活需求，但随着经济社会日益发展，区内各项软硬件设施难以满足人民群众对美好生活的向往。</w:t>
      </w:r>
    </w:p>
    <w:p w14:paraId="1454E026">
      <w:pPr>
        <w:pStyle w:val="4"/>
        <w:ind w:firstLine="643"/>
        <w:rPr>
          <w:color w:val="auto"/>
          <w:highlight w:val="none"/>
        </w:rPr>
      </w:pPr>
      <w:bookmarkStart w:id="4" w:name="_Toc143701950"/>
      <w:r>
        <w:rPr>
          <w:color w:val="auto"/>
          <w:highlight w:val="none"/>
        </w:rPr>
        <w:t>第二节</w:t>
      </w:r>
      <w:r>
        <w:rPr>
          <w:rFonts w:hint="eastAsia"/>
          <w:color w:val="auto"/>
          <w:highlight w:val="none"/>
        </w:rPr>
        <w:t xml:space="preserve"> 面临的机遇与挑战</w:t>
      </w:r>
      <w:bookmarkEnd w:id="4"/>
    </w:p>
    <w:p w14:paraId="4A1EA905">
      <w:pPr>
        <w:ind w:firstLine="560"/>
        <w:rPr>
          <w:color w:val="auto"/>
          <w:highlight w:val="none"/>
        </w:rPr>
      </w:pPr>
      <w:r>
        <w:rPr>
          <w:rFonts w:hint="eastAsia"/>
          <w:color w:val="auto"/>
          <w:highlight w:val="none"/>
        </w:rPr>
        <w:t>“十四五”时期是我国全面建成小康社会、实现第一个百年奋斗目标之后，乘势而上开启全面建设社会主义现代化国家新征程、向第二个百年奋斗目标进军的第一个五年。</w:t>
      </w:r>
    </w:p>
    <w:p w14:paraId="55F8A798">
      <w:pPr>
        <w:ind w:firstLine="560"/>
        <w:rPr>
          <w:color w:val="auto"/>
          <w:highlight w:val="none"/>
        </w:rPr>
      </w:pPr>
      <w:r>
        <w:rPr>
          <w:rFonts w:hint="eastAsia"/>
          <w:color w:val="auto"/>
          <w:highlight w:val="none"/>
        </w:rPr>
        <w:t>当前的国际形势错综复杂，国际经济、科技、文化、安全、政治等格局都在发生深刻调整，世界进入动荡变革期。从国内看，要深刻认识我国社会主要矛盾发展变化带来的新特征新要求，增强机遇意识和风险意识，善于在危机中育新机、于变局中开新局，抓住机遇，应对挑战。我国经济发展步入国内大循环为主体、国内国际双循环相互促进的新发展格局。近年来随着外部环境和我国发展所具有的要素禀赋的变化，国际大循环动能明显减弱，而我国内需潜力不断释放，国内大循环活力日益强劲，客观上有着此消彼长的态势。我区矿藏多，品位高，储量丰富，硅石、铁矿资源作为国家战略资源，在深加工产品进口替代、新材料+新技术等方面具有巨大的潜力和优势。未来一个时期，国内市场主导国民经济循环特征会更加明显，我区经济增长的内需潜力将会不断释放。</w:t>
      </w:r>
    </w:p>
    <w:p w14:paraId="1E63B125">
      <w:pPr>
        <w:ind w:firstLine="560"/>
        <w:rPr>
          <w:color w:val="auto"/>
          <w:highlight w:val="none"/>
        </w:rPr>
      </w:pPr>
      <w:r>
        <w:rPr>
          <w:rFonts w:hint="eastAsia"/>
          <w:color w:val="auto"/>
          <w:highlight w:val="none"/>
        </w:rPr>
        <w:t>从辽宁看，党中央高度重视、大力支持东北振兴，习近平总书记亲临辽宁视察指导，多次作出重要指示批示，为新时代辽宁全面振兴、全方位振兴指路领航；李克强总理主持召开国务院振兴东北地区等老工业基地领导小组会议，高度关注东北振兴发展；中发37号文件等系列政策措施为辽宁振兴发展持续注入新鲜活力。省委、省政府克难奋进、创新实干，以全面开放引领全面振兴，全力建设辽宁自贸试验区，积极打造对外开放新前沿；强化“营商环境就是我们自己”的意识，省委省政府出台一系列政策红利，对今后我区的发展起着至关重要的推动作用。</w:t>
      </w:r>
    </w:p>
    <w:p w14:paraId="1B72AA1C">
      <w:pPr>
        <w:ind w:firstLine="560"/>
        <w:rPr>
          <w:color w:val="auto"/>
          <w:highlight w:val="none"/>
        </w:rPr>
      </w:pPr>
      <w:r>
        <w:rPr>
          <w:rFonts w:hint="eastAsia"/>
          <w:color w:val="auto"/>
          <w:highlight w:val="none"/>
        </w:rPr>
        <w:t>从本溪看，全市上下大力践行新发展理念，全面实施“</w:t>
      </w:r>
      <w:r>
        <w:rPr>
          <w:rFonts w:hint="eastAsia"/>
          <w:b/>
          <w:color w:val="auto"/>
          <w:highlight w:val="none"/>
        </w:rPr>
        <w:t>生态立市、产业强市、人才兴市、惠民</w:t>
      </w:r>
      <w:r>
        <w:rPr>
          <w:b/>
          <w:color w:val="auto"/>
          <w:highlight w:val="none"/>
        </w:rPr>
        <w:t>富市</w:t>
      </w:r>
      <w:r>
        <w:rPr>
          <w:rFonts w:hint="eastAsia"/>
          <w:color w:val="auto"/>
          <w:highlight w:val="none"/>
        </w:rPr>
        <w:t>”发展战略，思想统一、目标一致、落实有序、成效初显。特别是突出“生态立市”主导地位，坚持生态优先、绿色发展，“绿色家底”生态优势必将孕育出产业优势、经济优势、发展优势和竞争优势。创新转型思路更加清晰，新旧动能加快转换，发展基础逐步夯实，政策措施不断落地见效，高质量发展体制机制日趋完善。</w:t>
      </w:r>
    </w:p>
    <w:p w14:paraId="2239650B">
      <w:pPr>
        <w:ind w:firstLine="560"/>
        <w:rPr>
          <w:color w:val="auto"/>
          <w:highlight w:val="none"/>
        </w:rPr>
      </w:pPr>
      <w:r>
        <w:rPr>
          <w:rFonts w:hint="eastAsia"/>
          <w:color w:val="auto"/>
          <w:highlight w:val="none"/>
        </w:rPr>
        <w:t>从区情看，在区委的正确领导下，全区统一思想，振奋精神，信心百倍，形成了良好的发展氛围。在十三五期间的不断努力下，一些重大项目即将进入爆发期，南芬区到了快速发展的关键阶段，处于大有作为的战略机遇期，要充分发挥比较优势，充分利用区位优势、生态优势、资源优势、产业优势，挖掘在绿色智慧矿山建设、休闲旅游等方面的发展潜力，坚持解放思想，以科技为产业赋能，在营商环境、产业结构优化调整、培育新经济增长点、绿色发展方面取得新突破，实现政治生态、经济生态、文化生态、社会生态、自然生态共进的南芬区全面高质量发展。</w:t>
      </w:r>
    </w:p>
    <w:p w14:paraId="466F78B6">
      <w:pPr>
        <w:ind w:firstLine="560"/>
        <w:rPr>
          <w:color w:val="auto"/>
          <w:highlight w:val="none"/>
        </w:rPr>
      </w:pPr>
      <w:r>
        <w:rPr>
          <w:rFonts w:hint="eastAsia"/>
          <w:color w:val="auto"/>
          <w:highlight w:val="none"/>
        </w:rPr>
        <w:t>总之，南芬区认真按照《中共中央关于制定国民经济和社会发展第十四个五年规划和二〇三五年远景目标的建议》和辽宁省委提出的关于编制辽宁“十四五”规划的总体思路和工作要求，全面分析辽宁经济社会发展面临的形势，认真领会本溪市经济和社会发展基本思路，科学评估南芬区“十三五”规划实施情况，准确把握“十四五”时期经济社会发展总体要求和奋斗目标，实事求是、脚踏实地，结合南芬区的实际情况，科学制定新规划，迎接新的机遇与挑战。</w:t>
      </w:r>
    </w:p>
    <w:p w14:paraId="3CDF5C0A">
      <w:pPr>
        <w:ind w:firstLine="560"/>
        <w:rPr>
          <w:color w:val="auto"/>
          <w:highlight w:val="none"/>
        </w:rPr>
      </w:pPr>
      <w:r>
        <w:rPr>
          <w:color w:val="auto"/>
          <w:highlight w:val="none"/>
        </w:rPr>
        <w:br w:type="page"/>
      </w:r>
    </w:p>
    <w:p w14:paraId="793F205E">
      <w:pPr>
        <w:pStyle w:val="3"/>
        <w:ind w:firstLine="643"/>
        <w:rPr>
          <w:color w:val="auto"/>
          <w:highlight w:val="none"/>
        </w:rPr>
      </w:pPr>
      <w:bookmarkStart w:id="5" w:name="_Toc143701951"/>
      <w:r>
        <w:rPr>
          <w:color w:val="auto"/>
          <w:highlight w:val="none"/>
        </w:rPr>
        <w:t>第二章</w:t>
      </w:r>
      <w:r>
        <w:rPr>
          <w:rFonts w:hint="eastAsia"/>
          <w:color w:val="auto"/>
          <w:highlight w:val="none"/>
        </w:rPr>
        <w:t xml:space="preserve"> 总体规划篇</w:t>
      </w:r>
      <w:bookmarkEnd w:id="5"/>
    </w:p>
    <w:p w14:paraId="00913DAC">
      <w:pPr>
        <w:ind w:firstLine="560"/>
        <w:rPr>
          <w:color w:val="auto"/>
          <w:highlight w:val="none"/>
        </w:rPr>
      </w:pPr>
      <w:r>
        <w:rPr>
          <w:rFonts w:hint="eastAsia"/>
          <w:color w:val="auto"/>
          <w:highlight w:val="none"/>
        </w:rPr>
        <w:t>深刻认识我国社会主要矛盾发展变化带来的新特征新要求，增强机遇意识和风险意识，把握发展规律，善于在危机中育新机、于变局中开新局，抓住机遇，坚持战略思维、问题导向和目标导向，科学谋划“十四五”宏伟蓝图。</w:t>
      </w:r>
    </w:p>
    <w:p w14:paraId="43757F6A">
      <w:pPr>
        <w:pStyle w:val="4"/>
        <w:ind w:firstLine="643"/>
        <w:rPr>
          <w:color w:val="auto"/>
          <w:highlight w:val="none"/>
        </w:rPr>
      </w:pPr>
      <w:bookmarkStart w:id="6" w:name="_Toc143701952"/>
      <w:r>
        <w:rPr>
          <w:color w:val="auto"/>
          <w:highlight w:val="none"/>
        </w:rPr>
        <w:t>第一节</w:t>
      </w:r>
      <w:r>
        <w:rPr>
          <w:rFonts w:hint="eastAsia"/>
          <w:color w:val="auto"/>
          <w:highlight w:val="none"/>
        </w:rPr>
        <w:t xml:space="preserve"> </w:t>
      </w:r>
      <w:r>
        <w:rPr>
          <w:color w:val="auto"/>
          <w:highlight w:val="none"/>
        </w:rPr>
        <w:t>指导思想</w:t>
      </w:r>
      <w:bookmarkEnd w:id="6"/>
    </w:p>
    <w:p w14:paraId="020545D0">
      <w:pPr>
        <w:widowControl w:val="0"/>
        <w:spacing w:line="560" w:lineRule="exact"/>
        <w:ind w:firstLine="560"/>
        <w:rPr>
          <w:color w:val="auto"/>
          <w:highlight w:val="none"/>
        </w:rPr>
      </w:pPr>
      <w:r>
        <w:rPr>
          <w:rFonts w:hint="eastAsia"/>
          <w:color w:val="auto"/>
          <w:highlight w:val="none"/>
        </w:rPr>
        <w:t xml:space="preserve"> 高举中国特色社会主义伟大旗帜，深入贯彻党的十九大和十九届二中、三中、四中、五中全会精神，坚持以马克思列宁主义、毛泽东思想、邓小平理论、“三个代表”重要思想、科学发展观、习近平新时代中国特色社会主义思想为指导，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深入贯彻习近平总书记关于东北、辽宁振兴发展的重要讲话和指示批示精神，立足“五大安全”战略定位，统筹发展和安全，</w:t>
      </w:r>
      <w:r>
        <w:rPr>
          <w:rFonts w:hint="eastAsia" w:ascii="仿宋" w:hAnsi="仿宋" w:cs="仿宋"/>
          <w:color w:val="auto"/>
          <w:szCs w:val="28"/>
          <w:highlight w:val="none"/>
        </w:rPr>
        <w:t>坚持以人民为中心的发展思想，改革创新，发扬斗争精神，聚焦实施全面振兴新突破三年行动，以深入开展“六个年”活动为重要抓手和载体，保持定力、发挥优势，充分用好“三类资源”，持续优化“四个生态”，全面实施“生态立区、产业强区、人才兴区、惠民富区”发展战略，全面深化改革开放，纵深推进全面从严治党，以新气象新担当新作为奋力实现南芬全面振兴新突破。</w:t>
      </w:r>
      <w:r>
        <w:rPr>
          <w:rFonts w:hint="eastAsia"/>
          <w:color w:val="auto"/>
          <w:highlight w:val="none"/>
        </w:rPr>
        <w:t>聚焦补齐“四个短板”、扎实做好“六项重点工作”，深入落实“四个着力”“三个推进”，坚持生态优先绿色发展，主动融入“双循环”新发展格局，推进治理体系和治理能力现代化，推进本溪市的“双本”融合战略，深化央地合作。打造城南明珠，扎实推进“</w:t>
      </w:r>
      <w:r>
        <w:rPr>
          <w:rFonts w:hint="eastAsia"/>
          <w:b/>
          <w:color w:val="auto"/>
          <w:highlight w:val="none"/>
        </w:rPr>
        <w:t>锦绣南芬、兴旺南芬、智汇南芬、幸福南芬</w:t>
      </w:r>
      <w:r>
        <w:rPr>
          <w:rFonts w:hint="eastAsia"/>
          <w:color w:val="auto"/>
          <w:highlight w:val="none"/>
        </w:rPr>
        <w:t>”建设，综合实力实现新跨越，改革开放迈出新步伐，社会文明程度得到新提高，生态文明建设实现新进步，民生福祉达到新水平，综合治理效能得到新提升，为地区全面建设社会主义现代化开好局、起好步，实现全面振兴、全方位振兴。</w:t>
      </w:r>
    </w:p>
    <w:p w14:paraId="598E98D9">
      <w:pPr>
        <w:pStyle w:val="4"/>
        <w:ind w:firstLine="643"/>
        <w:rPr>
          <w:color w:val="auto"/>
          <w:highlight w:val="none"/>
        </w:rPr>
      </w:pPr>
      <w:bookmarkStart w:id="7" w:name="_Toc143701953"/>
      <w:r>
        <w:rPr>
          <w:color w:val="auto"/>
          <w:highlight w:val="none"/>
        </w:rPr>
        <w:t>第二节</w:t>
      </w:r>
      <w:r>
        <w:rPr>
          <w:rFonts w:hint="eastAsia"/>
          <w:color w:val="auto"/>
          <w:highlight w:val="none"/>
        </w:rPr>
        <w:t xml:space="preserve"> 基本原则</w:t>
      </w:r>
      <w:bookmarkEnd w:id="7"/>
    </w:p>
    <w:p w14:paraId="2CEA4357">
      <w:pPr>
        <w:ind w:firstLine="562"/>
        <w:rPr>
          <w:color w:val="auto"/>
          <w:highlight w:val="none"/>
        </w:rPr>
      </w:pPr>
      <w:r>
        <w:rPr>
          <w:rFonts w:hint="eastAsia"/>
          <w:b/>
          <w:color w:val="auto"/>
          <w:highlight w:val="none"/>
        </w:rPr>
        <w:t>——认真坚持党的全面领导，深入贯彻落实党的政策。</w:t>
      </w:r>
      <w:r>
        <w:rPr>
          <w:rFonts w:hint="eastAsia"/>
          <w:color w:val="auto"/>
          <w:highlight w:val="none"/>
        </w:rPr>
        <w:t>坚持党建统领，发挥党总揽全局、协调各方的领导核心作用，坚持以人民为中心的发展思想，坚持适应把握引领经济发展新常态，以党建引领和推动经济社会高质量发展，建设新南芬，开启新征程。</w:t>
      </w:r>
    </w:p>
    <w:p w14:paraId="5E71E63C">
      <w:pPr>
        <w:ind w:firstLine="562"/>
        <w:rPr>
          <w:color w:val="auto"/>
          <w:highlight w:val="none"/>
        </w:rPr>
      </w:pPr>
      <w:r>
        <w:rPr>
          <w:rFonts w:hint="eastAsia"/>
          <w:b/>
          <w:color w:val="auto"/>
          <w:highlight w:val="none"/>
        </w:rPr>
        <w:t>——认真坚持以人民为中心，坚持全心全意为人民服务。</w:t>
      </w:r>
      <w:r>
        <w:rPr>
          <w:rFonts w:hint="eastAsia"/>
          <w:color w:val="auto"/>
          <w:highlight w:val="none"/>
        </w:rPr>
        <w:t>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14:paraId="0890227D">
      <w:pPr>
        <w:ind w:firstLine="562"/>
        <w:rPr>
          <w:color w:val="auto"/>
          <w:highlight w:val="none"/>
        </w:rPr>
      </w:pPr>
      <w:r>
        <w:rPr>
          <w:rFonts w:hint="eastAsia"/>
          <w:b/>
          <w:color w:val="auto"/>
          <w:highlight w:val="none"/>
        </w:rPr>
        <w:t>——认真坚持新发展理念，将发展推向更高阶段。</w:t>
      </w:r>
      <w:r>
        <w:rPr>
          <w:rFonts w:hint="eastAsia"/>
          <w:color w:val="auto"/>
          <w:highlight w:val="none"/>
        </w:rPr>
        <w:t>把新发展理念贯穿南芬区发展全过程和各领域，构建新发展格局，切实转变发展方式，推动质量变革、效率变革、动力变革，实现更高质量、更有效率、更加公平、更可持续、更为安全的发展。</w:t>
      </w:r>
    </w:p>
    <w:p w14:paraId="3654A106">
      <w:pPr>
        <w:ind w:firstLine="562"/>
        <w:rPr>
          <w:color w:val="auto"/>
          <w:highlight w:val="none"/>
        </w:rPr>
      </w:pPr>
      <w:r>
        <w:rPr>
          <w:rFonts w:hint="eastAsia"/>
          <w:b/>
          <w:color w:val="auto"/>
          <w:highlight w:val="none"/>
        </w:rPr>
        <w:t>——认真坚持深化改革开放，释放改革的潜在动力活力。</w:t>
      </w:r>
      <w:r>
        <w:rPr>
          <w:rFonts w:hint="eastAsia"/>
          <w:color w:val="auto"/>
          <w:highlight w:val="none"/>
        </w:rPr>
        <w:t>坚定不移推进改革，坚定不移扩大开放，加强南芬区治理体系和治理能力现代化建设，破除制约南芬区高质量发展、高品质生活的体制机制障碍，强化有利于提高南芬区资源配置效率、有利于调动全区积极性的改革开放举措，持续增强发展动力和活力。</w:t>
      </w:r>
    </w:p>
    <w:p w14:paraId="7B40350A">
      <w:pPr>
        <w:ind w:firstLine="562"/>
        <w:rPr>
          <w:color w:val="auto"/>
          <w:highlight w:val="none"/>
        </w:rPr>
      </w:pPr>
      <w:r>
        <w:rPr>
          <w:rFonts w:hint="eastAsia"/>
          <w:b/>
          <w:color w:val="auto"/>
          <w:highlight w:val="none"/>
        </w:rPr>
        <w:t>——认真坚持系统观念，保持社会发展的稳定与平衡。</w:t>
      </w:r>
      <w:r>
        <w:rPr>
          <w:rFonts w:hint="eastAsia"/>
          <w:color w:val="auto"/>
          <w:highlight w:val="none"/>
        </w:rPr>
        <w:t>加强前瞻性思考、全局性谋划、战略性布局、整体性推进，统筹国内国际两个大局，办好发展安全两件大事，着力固根基、扬优势、补短板、强弱项，注重防范化解重大风险挑战，实现南芬区发展质量、结构、规模、速度、效益、安全相统一。</w:t>
      </w:r>
    </w:p>
    <w:p w14:paraId="1218F2FE">
      <w:pPr>
        <w:pStyle w:val="4"/>
        <w:ind w:firstLine="643"/>
        <w:rPr>
          <w:color w:val="auto"/>
          <w:highlight w:val="none"/>
        </w:rPr>
      </w:pPr>
      <w:bookmarkStart w:id="8" w:name="_Toc143701954"/>
      <w:r>
        <w:rPr>
          <w:color w:val="auto"/>
          <w:highlight w:val="none"/>
        </w:rPr>
        <w:t>第</w:t>
      </w:r>
      <w:r>
        <w:rPr>
          <w:rFonts w:hint="eastAsia"/>
          <w:color w:val="auto"/>
          <w:highlight w:val="none"/>
        </w:rPr>
        <w:t>三</w:t>
      </w:r>
      <w:r>
        <w:rPr>
          <w:color w:val="auto"/>
          <w:highlight w:val="none"/>
        </w:rPr>
        <w:t>节</w:t>
      </w:r>
      <w:r>
        <w:rPr>
          <w:rFonts w:hint="eastAsia"/>
          <w:color w:val="auto"/>
          <w:highlight w:val="none"/>
        </w:rPr>
        <w:t xml:space="preserve"> </w:t>
      </w:r>
      <w:r>
        <w:rPr>
          <w:color w:val="auto"/>
          <w:highlight w:val="none"/>
        </w:rPr>
        <w:t>发展目标</w:t>
      </w:r>
      <w:bookmarkEnd w:id="8"/>
    </w:p>
    <w:p w14:paraId="78AD4F63">
      <w:pPr>
        <w:ind w:firstLine="560"/>
        <w:rPr>
          <w:color w:val="auto"/>
          <w:highlight w:val="none"/>
        </w:rPr>
      </w:pPr>
      <w:r>
        <w:rPr>
          <w:rFonts w:hint="eastAsia"/>
          <w:color w:val="auto"/>
          <w:highlight w:val="none"/>
        </w:rPr>
        <w:t>南芬区聚焦高质量发展，进一步优化经济结构，力争经济社会各项事业发展高于全市平均水平。</w:t>
      </w:r>
      <w:r>
        <w:rPr>
          <w:color w:val="auto"/>
          <w:highlight w:val="none"/>
        </w:rPr>
        <w:t>“十四五”时期，南芬区经济社会发展总体目标是：</w:t>
      </w:r>
      <w:r>
        <w:rPr>
          <w:rFonts w:hint="eastAsia"/>
          <w:color w:val="auto"/>
          <w:highlight w:val="none"/>
        </w:rPr>
        <w:t>南芬区立足“生态立区、产业强区、人才兴区、惠民富区”战略，优化营商环境，以工业和文旅双轮驱动，带动南芬区经济社会全面发展。提升城市制度创新与治理能力，开展安民惠民富民的民生工程，走加强生态治理、推动循环经济和促进城乡融合相结合的资源型城市创新转型发展道路。创建国家深地智慧矿山建设先行区、国家人参铁高端铸件产业示范区、国家独立工矿区改造提升样板区、全域旅游示范区、固废资源综合利用承载区。重点建设“</w:t>
      </w:r>
      <w:r>
        <w:rPr>
          <w:rFonts w:hint="eastAsia"/>
          <w:b/>
          <w:color w:val="auto"/>
          <w:highlight w:val="none"/>
        </w:rPr>
        <w:t>一区、三基地</w:t>
      </w:r>
      <w:r>
        <w:rPr>
          <w:rFonts w:hint="eastAsia"/>
          <w:color w:val="auto"/>
          <w:highlight w:val="none"/>
        </w:rPr>
        <w:t>”工业发展体系、“</w:t>
      </w:r>
      <w:r>
        <w:rPr>
          <w:b/>
          <w:color w:val="auto"/>
          <w:highlight w:val="none"/>
        </w:rPr>
        <w:t>一心、一轴、一环、七组团</w:t>
      </w:r>
      <w:r>
        <w:rPr>
          <w:rFonts w:hint="eastAsia"/>
          <w:color w:val="auto"/>
          <w:highlight w:val="none"/>
        </w:rPr>
        <w:t>”全域旅游体系、“</w:t>
      </w:r>
      <w:r>
        <w:rPr>
          <w:rFonts w:hint="eastAsia"/>
          <w:b/>
          <w:color w:val="auto"/>
          <w:highlight w:val="none"/>
        </w:rPr>
        <w:t>双生双宜</w:t>
      </w:r>
      <w:r>
        <w:rPr>
          <w:rFonts w:hint="eastAsia"/>
          <w:color w:val="auto"/>
          <w:highlight w:val="none"/>
        </w:rPr>
        <w:t>”绿色生态体系、“</w:t>
      </w:r>
      <w:r>
        <w:rPr>
          <w:rFonts w:hint="eastAsia"/>
          <w:b/>
          <w:color w:val="auto"/>
          <w:highlight w:val="none"/>
        </w:rPr>
        <w:t>一体两翼</w:t>
      </w:r>
      <w:r>
        <w:rPr>
          <w:rFonts w:hint="eastAsia"/>
          <w:color w:val="auto"/>
          <w:highlight w:val="none"/>
        </w:rPr>
        <w:t>”城乡融合体系，深入推进“</w:t>
      </w:r>
      <w:r>
        <w:rPr>
          <w:b/>
          <w:color w:val="auto"/>
          <w:highlight w:val="none"/>
        </w:rPr>
        <w:t>223</w:t>
      </w:r>
      <w:r>
        <w:rPr>
          <w:rFonts w:hint="eastAsia"/>
          <w:color w:val="auto"/>
          <w:highlight w:val="none"/>
        </w:rPr>
        <w:t>”项目工程（</w:t>
      </w:r>
      <w:r>
        <w:rPr>
          <w:color w:val="auto"/>
          <w:highlight w:val="none"/>
        </w:rPr>
        <w:t>2</w:t>
      </w:r>
      <w:r>
        <w:rPr>
          <w:rFonts w:hint="eastAsia"/>
          <w:color w:val="auto"/>
          <w:highlight w:val="none"/>
        </w:rPr>
        <w:t>00个项目、</w:t>
      </w:r>
      <w:r>
        <w:rPr>
          <w:color w:val="auto"/>
          <w:highlight w:val="none"/>
        </w:rPr>
        <w:t>2</w:t>
      </w:r>
      <w:r>
        <w:rPr>
          <w:rFonts w:hint="eastAsia"/>
          <w:color w:val="auto"/>
          <w:highlight w:val="none"/>
        </w:rPr>
        <w:t>00亿投资、</w:t>
      </w:r>
      <w:r>
        <w:rPr>
          <w:color w:val="auto"/>
          <w:highlight w:val="none"/>
        </w:rPr>
        <w:t>3</w:t>
      </w:r>
      <w:r>
        <w:rPr>
          <w:rFonts w:hint="eastAsia"/>
          <w:color w:val="auto"/>
          <w:highlight w:val="none"/>
        </w:rPr>
        <w:t>00亿产值），全力打造</w:t>
      </w:r>
      <w:r>
        <w:rPr>
          <w:rFonts w:hint="eastAsia"/>
          <w:b/>
          <w:color w:val="auto"/>
          <w:highlight w:val="none"/>
        </w:rPr>
        <w:t>城南明珠。</w:t>
      </w:r>
    </w:p>
    <w:p w14:paraId="3FC0C213">
      <w:pPr>
        <w:widowControl w:val="0"/>
        <w:spacing w:line="560" w:lineRule="exact"/>
        <w:ind w:firstLine="562"/>
        <w:rPr>
          <w:rFonts w:ascii="仿宋" w:hAnsi="仿宋" w:cs="仿宋"/>
          <w:color w:val="auto"/>
          <w:szCs w:val="28"/>
          <w:highlight w:val="none"/>
        </w:rPr>
      </w:pPr>
      <w:r>
        <w:rPr>
          <w:rFonts w:hint="eastAsia"/>
          <w:b/>
          <w:color w:val="auto"/>
          <w:highlight w:val="none"/>
        </w:rPr>
        <w:t>——经济发展取得突破性的新成效</w:t>
      </w:r>
      <w:r>
        <w:rPr>
          <w:rFonts w:hint="eastAsia"/>
          <w:color w:val="auto"/>
          <w:highlight w:val="none"/>
        </w:rPr>
        <w:t>。必须坚持新发展理念，在质量效益明显提升的基础上实现经济持续健康发展，增长潜力充分发挥，经济结构更加优化，创新能力显著提升，产业基础进一步夯实，产业链进一步健全，农业基础更加稳固，城乡区域发展协调性明显增强，现代化经济体系建设取得明显突破。在高端铸造、新材料研发、大宗固废综合利用、文旅IP开发方面实现突破，实现经济增长动能转换，新兴产业经济占比不断提高。</w:t>
      </w:r>
      <w:r>
        <w:rPr>
          <w:rFonts w:hint="eastAsia" w:ascii="仿宋" w:hAnsi="仿宋" w:cs="仿宋"/>
          <w:color w:val="auto"/>
          <w:szCs w:val="28"/>
          <w:highlight w:val="none"/>
        </w:rPr>
        <w:t>综合经济实力显著增强。结构调整迈出新步伐，重点产业链建设水平显著提升，打造国内一流的高端装备制造及配套产业基地，创建国家全域旅游示范区。到2025年，全区一般公共预算收入达到3.46亿元、规上工业总产值达到70亿元、社会消费品零售总额达到4.63亿元、固定资产投资年均增长15%；地区生产总值（GDP）增速、人均GDP超过全省平均水平；人均可支配收入增长达到41195元；其他各项重点工作均实现争先晋位。</w:t>
      </w:r>
      <w:r>
        <w:rPr>
          <w:rFonts w:hint="eastAsia"/>
          <w:color w:val="auto"/>
          <w:highlight w:val="none"/>
        </w:rPr>
        <w:t>各项主要指标均达到或优于全市平均水平，铸造、新材料、大宗固废综合利用、文旅产业发展走在全市前列，全领域绿色发展基本成型</w:t>
      </w:r>
    </w:p>
    <w:p w14:paraId="3E47E848">
      <w:pPr>
        <w:ind w:firstLine="562"/>
        <w:rPr>
          <w:color w:val="auto"/>
          <w:highlight w:val="none"/>
        </w:rPr>
      </w:pPr>
      <w:r>
        <w:rPr>
          <w:rFonts w:hint="eastAsia"/>
          <w:b/>
          <w:color w:val="auto"/>
          <w:highlight w:val="none"/>
        </w:rPr>
        <w:t>——改革开放迈出坚定不移的新步伐。</w:t>
      </w:r>
      <w:r>
        <w:rPr>
          <w:rFonts w:hint="eastAsia"/>
          <w:color w:val="auto"/>
          <w:highlight w:val="none"/>
        </w:rPr>
        <w:t>南芬区市场经济体制不断完善，高标准市场体系逐步形成，市场主体更加充满活力，南芬区要素市场化配置更趋合理，公平竞争制度更加健全，更高水平开放型经济新体制正在形成，南芬区经济逐步融入国内国际双循环。</w:t>
      </w:r>
    </w:p>
    <w:p w14:paraId="1256EF3D">
      <w:pPr>
        <w:ind w:firstLine="562"/>
        <w:rPr>
          <w:color w:val="auto"/>
          <w:highlight w:val="none"/>
        </w:rPr>
      </w:pPr>
      <w:r>
        <w:rPr>
          <w:rFonts w:hint="eastAsia"/>
          <w:b/>
          <w:color w:val="auto"/>
          <w:highlight w:val="none"/>
        </w:rPr>
        <w:t>——社会文明程度得到阶段性的新提高。</w:t>
      </w:r>
      <w:r>
        <w:rPr>
          <w:rFonts w:hint="eastAsia"/>
          <w:color w:val="auto"/>
          <w:highlight w:val="none"/>
        </w:rPr>
        <w:t>社会主义核心价值观深入人心，人民思想道德素质、科学文化素质和身心健康素质明显提高，南芬区公共文化服务体系和文化产业体系不断健全，南芬区人民精神文化生活日益丰富，民众的认同感和满意度普遍得到提升，爱国情绪高涨，社会凝聚力进一步增强。</w:t>
      </w:r>
    </w:p>
    <w:p w14:paraId="2B87CB6A">
      <w:pPr>
        <w:ind w:firstLine="562"/>
        <w:rPr>
          <w:color w:val="auto"/>
          <w:highlight w:val="none"/>
        </w:rPr>
      </w:pPr>
      <w:r>
        <w:rPr>
          <w:rFonts w:hint="eastAsia"/>
          <w:b/>
          <w:color w:val="auto"/>
          <w:highlight w:val="none"/>
        </w:rPr>
        <w:t>——生态文明建设实现实质性的新进步。</w:t>
      </w:r>
      <w:r>
        <w:rPr>
          <w:rFonts w:hint="eastAsia"/>
          <w:color w:val="auto"/>
          <w:highlight w:val="none"/>
        </w:rPr>
        <w:t>南芬区的国土空间开发保护格局得到优化，生产生活方式绿色转型成效显著，能源资源配置更加合理、利用效率大幅提高，主要污染物排放总量持续减少，生态环境持续改善，生态安全屏障更加牢固，城乡人居环境明显改善。充分释放南芬区生态资源禀赋优势，传统产业在节能环保方面全面提升，生态保护制度持续完善，绿色发展理念深入人心。</w:t>
      </w:r>
    </w:p>
    <w:p w14:paraId="1E4BD581">
      <w:pPr>
        <w:widowControl w:val="0"/>
        <w:spacing w:line="560" w:lineRule="exact"/>
        <w:ind w:firstLine="562"/>
        <w:rPr>
          <w:rFonts w:eastAsia="仿宋_GB2312"/>
          <w:color w:val="auto"/>
          <w:sz w:val="32"/>
          <w:szCs w:val="32"/>
          <w:highlight w:val="none"/>
        </w:rPr>
      </w:pPr>
      <w:r>
        <w:rPr>
          <w:rFonts w:hint="eastAsia"/>
          <w:b/>
          <w:color w:val="auto"/>
          <w:highlight w:val="none"/>
        </w:rPr>
        <w:t>——民生福祉达到普惠性的新水平。</w:t>
      </w:r>
      <w:r>
        <w:rPr>
          <w:rFonts w:hint="eastAsia"/>
          <w:color w:val="auto"/>
          <w:highlight w:val="none"/>
        </w:rPr>
        <w:t>南芬区实现更加充分更高质量就业，居民收入增长随着经济增长增加稳步提升，</w:t>
      </w:r>
      <w:r>
        <w:rPr>
          <w:rFonts w:hint="eastAsia" w:ascii="仿宋" w:hAnsi="仿宋" w:cs="仿宋"/>
          <w:color w:val="auto"/>
          <w:szCs w:val="28"/>
          <w:highlight w:val="none"/>
        </w:rPr>
        <w:t>基本公共服务均等化水平明显提高，</w:t>
      </w:r>
      <w:r>
        <w:rPr>
          <w:rFonts w:hint="eastAsia"/>
          <w:color w:val="auto"/>
          <w:highlight w:val="none"/>
        </w:rPr>
        <w:t>多层次社会保障体系更加健全和稳固，卫生健康体系更加完善，居民的看病难题基本得到妥善解决，乡村振兴战略全面深入推进。全区居民幸福感、获得感全面提升，脱贫成果得到巩固，区域教育、医疗、文化等服务能力持续增强，南芬区公共交通、社会保障、住房保障等体系基本实现均等化，城乡建设全面实现现代化、智能化</w:t>
      </w:r>
      <w:r>
        <w:rPr>
          <w:rFonts w:eastAsia="仿宋_GB2312"/>
          <w:color w:val="auto"/>
          <w:w w:val="95"/>
          <w:sz w:val="32"/>
          <w:szCs w:val="32"/>
          <w:highlight w:val="none"/>
        </w:rPr>
        <w:t>，</w:t>
      </w:r>
      <w:r>
        <w:rPr>
          <w:rFonts w:hint="eastAsia" w:ascii="仿宋" w:hAnsi="仿宋" w:cs="仿宋"/>
          <w:color w:val="auto"/>
          <w:w w:val="95"/>
          <w:szCs w:val="28"/>
          <w:highlight w:val="none"/>
        </w:rPr>
        <w:t>创建全国文明城市取得明显成效。</w:t>
      </w:r>
    </w:p>
    <w:p w14:paraId="5497EFE6">
      <w:pPr>
        <w:ind w:firstLine="562"/>
        <w:rPr>
          <w:color w:val="auto"/>
          <w:highlight w:val="none"/>
        </w:rPr>
      </w:pPr>
      <w:r>
        <w:rPr>
          <w:rFonts w:hint="eastAsia"/>
          <w:b/>
          <w:color w:val="auto"/>
          <w:highlight w:val="none"/>
        </w:rPr>
        <w:t>——综合治理效能得到整体性的新提升。</w:t>
      </w:r>
      <w:r>
        <w:rPr>
          <w:rFonts w:hint="eastAsia"/>
          <w:color w:val="auto"/>
          <w:highlight w:val="none"/>
        </w:rPr>
        <w:t>南芬区</w:t>
      </w:r>
      <w:r>
        <w:rPr>
          <w:rFonts w:hint="eastAsia"/>
          <w:bCs/>
          <w:color w:val="auto"/>
          <w:highlight w:val="none"/>
        </w:rPr>
        <w:t>把加强党的领导放在各项工作首位，营造良好的政治大环境和大趋势。南芬区</w:t>
      </w:r>
      <w:r>
        <w:rPr>
          <w:rFonts w:hint="eastAsia"/>
          <w:color w:val="auto"/>
          <w:highlight w:val="none"/>
        </w:rPr>
        <w:t>民主法治更加健全，社会公平正义进一步得到彰显，政府作用更好发挥，行政效率和公信力显著提升，社会治理水平明显提高，</w:t>
      </w:r>
      <w:r>
        <w:rPr>
          <w:rFonts w:hint="eastAsia" w:ascii="仿宋" w:hAnsi="仿宋" w:cs="仿宋"/>
          <w:color w:val="auto"/>
          <w:szCs w:val="28"/>
          <w:highlight w:val="none"/>
        </w:rPr>
        <w:t>安全能力实现新提升，法治政府建设加快推进，军民融合深度发展，防范化解重大风险和处置突发公共事件能力全面提高，自然灾害防御水平明显提升，共建共治共享的社会治理体系更加完善，</w:t>
      </w:r>
      <w:r>
        <w:rPr>
          <w:rFonts w:hint="eastAsia"/>
          <w:color w:val="auto"/>
          <w:highlight w:val="none"/>
        </w:rPr>
        <w:t>社会应急管理体系与措施得到进一步的完善</w:t>
      </w:r>
      <w:r>
        <w:rPr>
          <w:rFonts w:hint="eastAsia"/>
          <w:bCs/>
          <w:color w:val="auto"/>
          <w:highlight w:val="none"/>
        </w:rPr>
        <w:t>，构建风清气正的政治生态</w:t>
      </w:r>
      <w:r>
        <w:rPr>
          <w:rFonts w:hint="eastAsia"/>
          <w:color w:val="auto"/>
          <w:highlight w:val="none"/>
        </w:rPr>
        <w:t>。</w:t>
      </w:r>
    </w:p>
    <w:p w14:paraId="32805D0F">
      <w:pPr>
        <w:ind w:firstLine="560"/>
        <w:rPr>
          <w:color w:val="auto"/>
          <w:highlight w:val="none"/>
        </w:rPr>
      </w:pPr>
      <w:r>
        <w:rPr>
          <w:rFonts w:hint="eastAsia"/>
          <w:color w:val="auto"/>
          <w:highlight w:val="none"/>
        </w:rPr>
        <w:t>到2035年，经济实力、持续发展能力、创新驱动力、综合竞争力位于全市先进行列，经济总量、基础设施建设和民生事业实现跨越式发展。法治政府建设和社会治理现代化水平迈上新台阶，人民平等共享发展成果权利得到充分保障。居民素质、精神文明建设和文化软实力达到新高度。工业经济发展完成动能转换，创新驱动为核心的装备零部件制造全产业链形成；文旅事业全面发展，规模化、集群化效应显现，国际国内美誉度全面提升；生态环境持续向好，全领域绿色发展格局形成，资源循环利用率达到国内领先水平。对外开放和跨区域经济合作更深更广。公共服务能力全面达到我市平均水平，均等化基本实现，城乡发展差距基本消除，人民生活更加美好。以建设“</w:t>
      </w:r>
      <w:r>
        <w:rPr>
          <w:rFonts w:hint="eastAsia"/>
          <w:b/>
          <w:color w:val="auto"/>
          <w:highlight w:val="none"/>
        </w:rPr>
        <w:t>四个南芬</w:t>
      </w:r>
      <w:r>
        <w:rPr>
          <w:rFonts w:hint="eastAsia"/>
          <w:color w:val="auto"/>
          <w:highlight w:val="none"/>
        </w:rPr>
        <w:t>”为基础，向着建设“</w:t>
      </w:r>
      <w:r>
        <w:rPr>
          <w:rFonts w:hint="eastAsia"/>
          <w:b/>
          <w:color w:val="auto"/>
          <w:highlight w:val="none"/>
        </w:rPr>
        <w:t>八个南芬</w:t>
      </w:r>
      <w:r>
        <w:rPr>
          <w:rFonts w:hint="eastAsia"/>
          <w:color w:val="auto"/>
          <w:highlight w:val="none"/>
        </w:rPr>
        <w:t>”迈进，到</w:t>
      </w:r>
      <w:r>
        <w:rPr>
          <w:color w:val="auto"/>
          <w:highlight w:val="none"/>
        </w:rPr>
        <w:t>2035年建设成“</w:t>
      </w:r>
      <w:r>
        <w:rPr>
          <w:b/>
          <w:color w:val="auto"/>
          <w:highlight w:val="none"/>
        </w:rPr>
        <w:t>亲和南芬、智汇南芬、魅力南芬、生态南芬、和谐南芬、法治南芬、平安南芬、幸福南芬</w:t>
      </w:r>
      <w:r>
        <w:rPr>
          <w:color w:val="auto"/>
          <w:highlight w:val="none"/>
        </w:rPr>
        <w:t>”。</w:t>
      </w:r>
    </w:p>
    <w:p w14:paraId="601D6CBA">
      <w:pPr>
        <w:ind w:firstLine="560"/>
        <w:rPr>
          <w:rFonts w:hint="eastAsia"/>
          <w:color w:val="auto"/>
          <w:highlight w:val="none"/>
        </w:rPr>
      </w:pPr>
    </w:p>
    <w:tbl>
      <w:tblPr>
        <w:tblStyle w:val="19"/>
        <w:tblW w:w="9058" w:type="dxa"/>
        <w:jc w:val="center"/>
        <w:tblLayout w:type="fixed"/>
        <w:tblCellMar>
          <w:top w:w="0" w:type="dxa"/>
          <w:left w:w="0" w:type="dxa"/>
          <w:bottom w:w="0" w:type="dxa"/>
          <w:right w:w="0" w:type="dxa"/>
        </w:tblCellMar>
      </w:tblPr>
      <w:tblGrid>
        <w:gridCol w:w="1170"/>
        <w:gridCol w:w="2936"/>
        <w:gridCol w:w="1511"/>
        <w:gridCol w:w="1466"/>
        <w:gridCol w:w="1134"/>
        <w:gridCol w:w="841"/>
      </w:tblGrid>
      <w:tr w14:paraId="4E54A8C3">
        <w:tblPrEx>
          <w:tblCellMar>
            <w:top w:w="0" w:type="dxa"/>
            <w:left w:w="0" w:type="dxa"/>
            <w:bottom w:w="0" w:type="dxa"/>
            <w:right w:w="0" w:type="dxa"/>
          </w:tblCellMar>
        </w:tblPrEx>
        <w:trPr>
          <w:trHeight w:val="761" w:hRule="atLeast"/>
          <w:jc w:val="center"/>
        </w:trPr>
        <w:tc>
          <w:tcPr>
            <w:tcW w:w="9058"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86EFF7">
            <w:pPr>
              <w:widowControl w:val="0"/>
              <w:spacing w:line="240" w:lineRule="auto"/>
              <w:ind w:firstLine="562" w:firstLineChars="0"/>
              <w:jc w:val="center"/>
              <w:rPr>
                <w:rFonts w:ascii="Calibri" w:hAnsi="Calibri" w:eastAsia="宋体" w:cs="Times New Roman"/>
                <w:b/>
                <w:color w:val="auto"/>
                <w:kern w:val="2"/>
                <w:sz w:val="21"/>
                <w:szCs w:val="22"/>
                <w:highlight w:val="none"/>
              </w:rPr>
            </w:pPr>
            <w:r>
              <w:rPr>
                <w:rFonts w:hint="eastAsia" w:ascii="Calibri" w:hAnsi="Calibri" w:eastAsia="宋体" w:cs="Times New Roman"/>
                <w:b/>
                <w:color w:val="auto"/>
                <w:kern w:val="2"/>
                <w:sz w:val="21"/>
                <w:szCs w:val="22"/>
                <w:highlight w:val="none"/>
              </w:rPr>
              <w:t>专栏1  南芬区“十四五”规划主要指标体系</w:t>
            </w:r>
          </w:p>
          <w:p w14:paraId="5F914513">
            <w:pPr>
              <w:widowControl w:val="0"/>
              <w:spacing w:line="240" w:lineRule="auto"/>
              <w:ind w:firstLine="562" w:firstLineChars="0"/>
              <w:jc w:val="center"/>
              <w:rPr>
                <w:rFonts w:ascii="Calibri" w:hAnsi="Calibri" w:eastAsia="宋体" w:cs="Times New Roman"/>
                <w:b/>
                <w:color w:val="auto"/>
                <w:kern w:val="2"/>
                <w:sz w:val="21"/>
                <w:szCs w:val="22"/>
                <w:highlight w:val="none"/>
              </w:rPr>
            </w:pPr>
            <w:r>
              <w:rPr>
                <w:rFonts w:hint="eastAsia" w:ascii="Calibri" w:hAnsi="Calibri" w:eastAsia="宋体" w:cs="Times New Roman"/>
                <w:b/>
                <w:color w:val="auto"/>
                <w:kern w:val="2"/>
                <w:sz w:val="21"/>
                <w:szCs w:val="22"/>
                <w:highlight w:val="none"/>
              </w:rPr>
              <w:t>（待市里确定之后随之调整）</w:t>
            </w:r>
          </w:p>
        </w:tc>
      </w:tr>
      <w:tr w14:paraId="6730890C">
        <w:tblPrEx>
          <w:tblCellMar>
            <w:top w:w="0" w:type="dxa"/>
            <w:left w:w="0" w:type="dxa"/>
            <w:bottom w:w="0" w:type="dxa"/>
            <w:right w:w="0" w:type="dxa"/>
          </w:tblCellMar>
        </w:tblPrEx>
        <w:trPr>
          <w:trHeight w:val="577" w:hRule="atLeast"/>
          <w:jc w:val="center"/>
        </w:trPr>
        <w:tc>
          <w:tcPr>
            <w:tcW w:w="4106"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AB3A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指标名称</w:t>
            </w:r>
          </w:p>
        </w:tc>
        <w:tc>
          <w:tcPr>
            <w:tcW w:w="15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F035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2020年基数</w:t>
            </w:r>
          </w:p>
        </w:tc>
        <w:tc>
          <w:tcPr>
            <w:tcW w:w="146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6315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2025年目标</w:t>
            </w:r>
          </w:p>
        </w:tc>
        <w:tc>
          <w:tcPr>
            <w:tcW w:w="11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A6FAD">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累计或年均增长（%）</w:t>
            </w:r>
          </w:p>
        </w:tc>
        <w:tc>
          <w:tcPr>
            <w:tcW w:w="8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1E2F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属性</w:t>
            </w:r>
          </w:p>
        </w:tc>
      </w:tr>
      <w:tr w14:paraId="2B185CC4">
        <w:tblPrEx>
          <w:tblCellMar>
            <w:top w:w="0" w:type="dxa"/>
            <w:left w:w="0" w:type="dxa"/>
            <w:bottom w:w="0" w:type="dxa"/>
            <w:right w:w="0" w:type="dxa"/>
          </w:tblCellMar>
        </w:tblPrEx>
        <w:trPr>
          <w:trHeight w:val="312" w:hRule="atLeast"/>
          <w:jc w:val="center"/>
        </w:trPr>
        <w:tc>
          <w:tcPr>
            <w:tcW w:w="4106"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08482">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15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BF680">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14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CD6D5">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11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8AFCA">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BBC4C">
            <w:pPr>
              <w:widowControl w:val="0"/>
              <w:spacing w:line="240" w:lineRule="auto"/>
              <w:ind w:firstLine="0" w:firstLineChars="0"/>
              <w:jc w:val="both"/>
              <w:rPr>
                <w:rFonts w:ascii="Calibri" w:hAnsi="Calibri" w:eastAsia="宋体" w:cs="Times New Roman"/>
                <w:color w:val="auto"/>
                <w:kern w:val="2"/>
                <w:sz w:val="21"/>
                <w:szCs w:val="22"/>
                <w:highlight w:val="none"/>
              </w:rPr>
            </w:pPr>
          </w:p>
        </w:tc>
      </w:tr>
      <w:tr w14:paraId="48FEE041">
        <w:tblPrEx>
          <w:tblCellMar>
            <w:top w:w="0" w:type="dxa"/>
            <w:left w:w="0" w:type="dxa"/>
            <w:bottom w:w="0" w:type="dxa"/>
            <w:right w:w="0" w:type="dxa"/>
          </w:tblCellMar>
        </w:tblPrEx>
        <w:trPr>
          <w:trHeight w:val="328" w:hRule="atLeast"/>
          <w:jc w:val="center"/>
        </w:trPr>
        <w:tc>
          <w:tcPr>
            <w:tcW w:w="905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4A75A0">
            <w:pPr>
              <w:widowControl w:val="0"/>
              <w:spacing w:line="240" w:lineRule="auto"/>
              <w:ind w:firstLine="0" w:firstLineChars="0"/>
              <w:jc w:val="both"/>
              <w:rPr>
                <w:rFonts w:ascii="Calibri" w:hAnsi="Calibri" w:eastAsia="宋体" w:cs="Times New Roman"/>
                <w:b/>
                <w:color w:val="auto"/>
                <w:kern w:val="2"/>
                <w:sz w:val="21"/>
                <w:szCs w:val="22"/>
                <w:highlight w:val="none"/>
              </w:rPr>
            </w:pPr>
            <w:r>
              <w:rPr>
                <w:rFonts w:ascii="Calibri" w:hAnsi="Calibri" w:eastAsia="宋体" w:cs="Times New Roman"/>
                <w:b/>
                <w:color w:val="auto"/>
                <w:kern w:val="2"/>
                <w:sz w:val="21"/>
                <w:szCs w:val="22"/>
                <w:highlight w:val="none"/>
              </w:rPr>
              <w:t>高质量经济发展（7个）</w:t>
            </w:r>
          </w:p>
        </w:tc>
      </w:tr>
      <w:tr w14:paraId="75F3BEF6">
        <w:tblPrEx>
          <w:tblCellMar>
            <w:top w:w="0" w:type="dxa"/>
            <w:left w:w="0" w:type="dxa"/>
            <w:bottom w:w="0" w:type="dxa"/>
            <w:right w:w="0" w:type="dxa"/>
          </w:tblCellMar>
        </w:tblPrEx>
        <w:trPr>
          <w:trHeight w:val="515"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DBDC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地区生产总值（亿元）</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47DE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23</w:t>
            </w:r>
            <w:r>
              <w:rPr>
                <w:rFonts w:hint="eastAsia" w:ascii="Calibri" w:hAnsi="Calibri" w:eastAsia="宋体" w:cs="Times New Roman"/>
                <w:color w:val="auto"/>
                <w:kern w:val="2"/>
                <w:sz w:val="21"/>
                <w:szCs w:val="22"/>
                <w:highlight w:val="none"/>
              </w:rPr>
              <w:t>.</w:t>
            </w:r>
            <w:r>
              <w:rPr>
                <w:rFonts w:ascii="Calibri" w:hAnsi="Calibri" w:eastAsia="宋体" w:cs="Times New Roman"/>
                <w:color w:val="auto"/>
                <w:kern w:val="2"/>
                <w:sz w:val="21"/>
                <w:szCs w:val="22"/>
                <w:highlight w:val="none"/>
              </w:rPr>
              <w:t>8665</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86997">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3</w:t>
            </w:r>
            <w:r>
              <w:rPr>
                <w:rFonts w:hint="eastAsia" w:ascii="Calibri" w:hAnsi="Calibri" w:eastAsia="宋体" w:cs="Times New Roman"/>
                <w:color w:val="auto"/>
                <w:kern w:val="2"/>
                <w:sz w:val="21"/>
                <w:szCs w:val="22"/>
                <w:highlight w:val="none"/>
              </w:rPr>
              <w:t>6.722</w:t>
            </w:r>
          </w:p>
          <w:p w14:paraId="298CAB89">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35.067</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6A67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9</w:t>
            </w:r>
          </w:p>
          <w:p w14:paraId="023A5362">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8</w:t>
            </w: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8E99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61AC0508">
        <w:tblPrEx>
          <w:tblCellMar>
            <w:top w:w="0" w:type="dxa"/>
            <w:left w:w="0" w:type="dxa"/>
            <w:bottom w:w="0" w:type="dxa"/>
            <w:right w:w="0" w:type="dxa"/>
          </w:tblCellMar>
        </w:tblPrEx>
        <w:trPr>
          <w:trHeight w:val="208"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64527">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公共财政预算收入（亿元）</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8ECB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2</w:t>
            </w:r>
            <w:r>
              <w:rPr>
                <w:rFonts w:hint="eastAsia" w:ascii="Calibri" w:hAnsi="Calibri" w:eastAsia="宋体" w:cs="Times New Roman"/>
                <w:color w:val="auto"/>
                <w:kern w:val="2"/>
                <w:sz w:val="21"/>
                <w:szCs w:val="22"/>
                <w:highlight w:val="none"/>
              </w:rPr>
              <w:t>.</w:t>
            </w:r>
            <w:r>
              <w:rPr>
                <w:rFonts w:ascii="Calibri" w:hAnsi="Calibri" w:eastAsia="宋体" w:cs="Times New Roman"/>
                <w:color w:val="auto"/>
                <w:kern w:val="2"/>
                <w:sz w:val="21"/>
                <w:szCs w:val="22"/>
                <w:highlight w:val="none"/>
              </w:rPr>
              <w:t>5303</w:t>
            </w:r>
            <w:r>
              <w:rPr>
                <w:rFonts w:hint="eastAsia" w:ascii="Calibri" w:hAnsi="Calibri" w:eastAsia="宋体" w:cs="Times New Roman"/>
                <w:color w:val="auto"/>
                <w:kern w:val="2"/>
                <w:sz w:val="21"/>
                <w:szCs w:val="22"/>
                <w:highlight w:val="none"/>
              </w:rPr>
              <w:t>（扣除一次性收入0.62后的数据）</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A079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3.46</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497C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6.5</w:t>
            </w: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0F9E9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27AB408D">
        <w:tblPrEx>
          <w:tblCellMar>
            <w:top w:w="0" w:type="dxa"/>
            <w:left w:w="0" w:type="dxa"/>
            <w:bottom w:w="0" w:type="dxa"/>
            <w:right w:w="0" w:type="dxa"/>
          </w:tblCellMar>
        </w:tblPrEx>
        <w:trPr>
          <w:trHeight w:val="208"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1C74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固定资产投资增速（%）</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D4BA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无</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F449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不低于全市平均水平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AB0E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不低于全市平均水平</w:t>
            </w: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96E9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2404C7E4">
        <w:tblPrEx>
          <w:tblCellMar>
            <w:top w:w="0" w:type="dxa"/>
            <w:left w:w="0" w:type="dxa"/>
            <w:bottom w:w="0" w:type="dxa"/>
            <w:right w:w="0" w:type="dxa"/>
          </w:tblCellMar>
        </w:tblPrEx>
        <w:trPr>
          <w:trHeight w:val="111"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4812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全员劳动生产率（万元/人）</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57EB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FE0AD">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F75F2">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C713D">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3B7EA743">
        <w:tblPrEx>
          <w:tblCellMar>
            <w:top w:w="0" w:type="dxa"/>
            <w:left w:w="0" w:type="dxa"/>
            <w:bottom w:w="0" w:type="dxa"/>
            <w:right w:w="0" w:type="dxa"/>
          </w:tblCellMar>
        </w:tblPrEx>
        <w:trPr>
          <w:trHeight w:val="221"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42D2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户籍人口城镇化率（%）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5893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60</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697A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68%</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BD6C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0.25</w:t>
            </w: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0F09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1934282B">
        <w:tblPrEx>
          <w:tblCellMar>
            <w:top w:w="0" w:type="dxa"/>
            <w:left w:w="0" w:type="dxa"/>
            <w:bottom w:w="0" w:type="dxa"/>
            <w:right w:w="0" w:type="dxa"/>
          </w:tblCellMar>
        </w:tblPrEx>
        <w:trPr>
          <w:trHeight w:val="83"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7E3C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服务业增加值占GDP比重（%）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16CC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30</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0DF9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32.11</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B350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1.37</w:t>
            </w: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6D0F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09793371">
        <w:tblPrEx>
          <w:tblCellMar>
            <w:top w:w="0" w:type="dxa"/>
            <w:left w:w="0" w:type="dxa"/>
            <w:bottom w:w="0" w:type="dxa"/>
            <w:right w:w="0" w:type="dxa"/>
          </w:tblCellMar>
        </w:tblPrEx>
        <w:trPr>
          <w:trHeight w:val="154"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C932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新经济增加值占GDP比重（%）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96CC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8589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D7929">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DCF87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45F79A92">
        <w:tblPrEx>
          <w:tblCellMar>
            <w:top w:w="0" w:type="dxa"/>
            <w:left w:w="0" w:type="dxa"/>
            <w:bottom w:w="0" w:type="dxa"/>
            <w:right w:w="0" w:type="dxa"/>
          </w:tblCellMar>
        </w:tblPrEx>
        <w:trPr>
          <w:trHeight w:val="291" w:hRule="atLeast"/>
          <w:jc w:val="center"/>
        </w:trPr>
        <w:tc>
          <w:tcPr>
            <w:tcW w:w="905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12205">
            <w:pPr>
              <w:widowControl w:val="0"/>
              <w:spacing w:line="240" w:lineRule="auto"/>
              <w:ind w:firstLine="0" w:firstLineChars="0"/>
              <w:jc w:val="both"/>
              <w:rPr>
                <w:rFonts w:ascii="Calibri" w:hAnsi="Calibri" w:eastAsia="宋体" w:cs="Times New Roman"/>
                <w:b/>
                <w:color w:val="auto"/>
                <w:kern w:val="2"/>
                <w:sz w:val="21"/>
                <w:szCs w:val="22"/>
                <w:highlight w:val="none"/>
              </w:rPr>
            </w:pPr>
            <w:r>
              <w:rPr>
                <w:rFonts w:ascii="Calibri" w:hAnsi="Calibri" w:eastAsia="宋体" w:cs="Times New Roman"/>
                <w:b/>
                <w:color w:val="auto"/>
                <w:kern w:val="2"/>
                <w:sz w:val="21"/>
                <w:szCs w:val="22"/>
                <w:highlight w:val="none"/>
              </w:rPr>
              <w:t>创新驱动发展（6个）</w:t>
            </w:r>
          </w:p>
        </w:tc>
      </w:tr>
      <w:tr w14:paraId="7474AC2F">
        <w:tblPrEx>
          <w:tblCellMar>
            <w:top w:w="0" w:type="dxa"/>
            <w:left w:w="0" w:type="dxa"/>
            <w:bottom w:w="0" w:type="dxa"/>
            <w:right w:w="0" w:type="dxa"/>
          </w:tblCellMar>
        </w:tblPrEx>
        <w:trPr>
          <w:trHeight w:val="269"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0612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人才总量（万人）</w:t>
            </w:r>
          </w:p>
        </w:tc>
        <w:tc>
          <w:tcPr>
            <w:tcW w:w="1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BC52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9DB8D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78562">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D5E0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4A6DA611">
        <w:tblPrEx>
          <w:tblCellMar>
            <w:top w:w="0" w:type="dxa"/>
            <w:left w:w="0" w:type="dxa"/>
            <w:bottom w:w="0" w:type="dxa"/>
            <w:right w:w="0" w:type="dxa"/>
          </w:tblCellMar>
        </w:tblPrEx>
        <w:trPr>
          <w:trHeight w:val="141"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A2F6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研发投入占GDP比重（%）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3EC8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2</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F0477">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1.2</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F60AB">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5FBE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1E0C7631">
        <w:tblPrEx>
          <w:tblCellMar>
            <w:top w:w="0" w:type="dxa"/>
            <w:left w:w="0" w:type="dxa"/>
            <w:bottom w:w="0" w:type="dxa"/>
            <w:right w:w="0" w:type="dxa"/>
          </w:tblCellMar>
        </w:tblPrEx>
        <w:trPr>
          <w:trHeight w:val="161"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1ED0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PCT国际专利申请量（件）</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2FB5E0F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6D46B65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17964">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6BD0D">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49C80CE3">
        <w:tblPrEx>
          <w:tblCellMar>
            <w:top w:w="0" w:type="dxa"/>
            <w:left w:w="0" w:type="dxa"/>
            <w:bottom w:w="0" w:type="dxa"/>
            <w:right w:w="0" w:type="dxa"/>
          </w:tblCellMar>
        </w:tblPrEx>
        <w:trPr>
          <w:trHeight w:val="229"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3F6D7">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每万人口发明专利拥有量（件）</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C196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1</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95FF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1.1</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122572">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7783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543EAF05">
        <w:tblPrEx>
          <w:tblCellMar>
            <w:top w:w="0" w:type="dxa"/>
            <w:left w:w="0" w:type="dxa"/>
            <w:bottom w:w="0" w:type="dxa"/>
            <w:right w:w="0" w:type="dxa"/>
          </w:tblCellMar>
        </w:tblPrEx>
        <w:trPr>
          <w:trHeight w:val="300"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6FCA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科技进步贡献率（%）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F89A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9E1B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6</w:t>
            </w:r>
            <w:r>
              <w:rPr>
                <w:rFonts w:ascii="Calibri" w:hAnsi="Calibri" w:eastAsia="宋体" w:cs="Times New Roman"/>
                <w:color w:val="auto"/>
                <w:kern w:val="2"/>
                <w:sz w:val="21"/>
                <w:szCs w:val="22"/>
                <w:highlight w:val="none"/>
              </w:rPr>
              <w:t>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4F4FB">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A873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53D3A3C8">
        <w:tblPrEx>
          <w:tblCellMar>
            <w:top w:w="0" w:type="dxa"/>
            <w:left w:w="0" w:type="dxa"/>
            <w:bottom w:w="0" w:type="dxa"/>
            <w:right w:w="0" w:type="dxa"/>
          </w:tblCellMar>
        </w:tblPrEx>
        <w:trPr>
          <w:trHeight w:val="228"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487B7">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移动宽带用户普及率（%）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F3592">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50</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2432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90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2E9D6">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3219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10C49DE3">
        <w:tblPrEx>
          <w:tblCellMar>
            <w:top w:w="0" w:type="dxa"/>
            <w:left w:w="0" w:type="dxa"/>
            <w:bottom w:w="0" w:type="dxa"/>
            <w:right w:w="0" w:type="dxa"/>
          </w:tblCellMar>
        </w:tblPrEx>
        <w:trPr>
          <w:trHeight w:val="291" w:hRule="atLeast"/>
          <w:jc w:val="center"/>
        </w:trPr>
        <w:tc>
          <w:tcPr>
            <w:tcW w:w="905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C7219">
            <w:pPr>
              <w:widowControl w:val="0"/>
              <w:spacing w:line="240" w:lineRule="auto"/>
              <w:ind w:firstLine="0" w:firstLineChars="0"/>
              <w:jc w:val="both"/>
              <w:rPr>
                <w:rFonts w:ascii="Calibri" w:hAnsi="Calibri" w:eastAsia="宋体" w:cs="Times New Roman"/>
                <w:b/>
                <w:color w:val="auto"/>
                <w:kern w:val="2"/>
                <w:sz w:val="21"/>
                <w:szCs w:val="22"/>
                <w:highlight w:val="none"/>
              </w:rPr>
            </w:pPr>
            <w:r>
              <w:rPr>
                <w:rFonts w:ascii="Calibri" w:hAnsi="Calibri" w:eastAsia="宋体" w:cs="Times New Roman"/>
                <w:b/>
                <w:color w:val="auto"/>
                <w:kern w:val="2"/>
                <w:sz w:val="21"/>
                <w:szCs w:val="22"/>
                <w:highlight w:val="none"/>
              </w:rPr>
              <w:t>高质量民生发展（10个）</w:t>
            </w:r>
          </w:p>
        </w:tc>
      </w:tr>
      <w:tr w14:paraId="6F269E09">
        <w:tblPrEx>
          <w:tblCellMar>
            <w:top w:w="0" w:type="dxa"/>
            <w:left w:w="0" w:type="dxa"/>
            <w:bottom w:w="0" w:type="dxa"/>
            <w:right w:w="0" w:type="dxa"/>
          </w:tblCellMar>
        </w:tblPrEx>
        <w:trPr>
          <w:trHeight w:val="261"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7844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居民人均可支配收入（万元）</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A7662">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27121</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1D46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33215</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68C2E">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7B2E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1DE01E1A">
        <w:tblPrEx>
          <w:tblCellMar>
            <w:top w:w="0" w:type="dxa"/>
            <w:left w:w="0" w:type="dxa"/>
            <w:bottom w:w="0" w:type="dxa"/>
            <w:right w:w="0" w:type="dxa"/>
          </w:tblCellMar>
        </w:tblPrEx>
        <w:trPr>
          <w:trHeight w:val="283"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E582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劳动年龄人口平均受教育年限（年）</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E5D7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12.5</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53B5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12.8</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4C310">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51CC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4C4F76C3">
        <w:tblPrEx>
          <w:tblCellMar>
            <w:top w:w="0" w:type="dxa"/>
            <w:left w:w="0" w:type="dxa"/>
            <w:bottom w:w="0" w:type="dxa"/>
            <w:right w:w="0" w:type="dxa"/>
          </w:tblCellMar>
        </w:tblPrEx>
        <w:trPr>
          <w:trHeight w:val="293"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E51C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城镇新增就业人数（万人）</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8B119">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A3AF4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0.</w:t>
            </w:r>
            <w:r>
              <w:rPr>
                <w:rFonts w:ascii="Calibri" w:hAnsi="Calibri" w:eastAsia="宋体" w:cs="Times New Roman"/>
                <w:color w:val="auto"/>
                <w:kern w:val="2"/>
                <w:sz w:val="21"/>
                <w:szCs w:val="22"/>
                <w:highlight w:val="none"/>
              </w:rPr>
              <w:t>2</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AD745">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C956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6CBCC3B5">
        <w:tblPrEx>
          <w:tblCellMar>
            <w:top w:w="0" w:type="dxa"/>
            <w:left w:w="0" w:type="dxa"/>
            <w:bottom w:w="0" w:type="dxa"/>
            <w:right w:w="0" w:type="dxa"/>
          </w:tblCellMar>
        </w:tblPrEx>
        <w:trPr>
          <w:trHeight w:val="247"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068E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基本养老保险参保率（%）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2B47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95.5</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83B3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97</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EC0A1">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33C6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148F5C5E">
        <w:tblPrEx>
          <w:tblCellMar>
            <w:top w:w="0" w:type="dxa"/>
            <w:left w:w="0" w:type="dxa"/>
            <w:bottom w:w="0" w:type="dxa"/>
            <w:right w:w="0" w:type="dxa"/>
          </w:tblCellMar>
        </w:tblPrEx>
        <w:trPr>
          <w:trHeight w:val="240"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9AFA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城镇棚户区住房改造（万套）</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BB5DA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4C5A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CC1BA">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16B9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59013DF9">
        <w:tblPrEx>
          <w:tblCellMar>
            <w:top w:w="0" w:type="dxa"/>
            <w:left w:w="0" w:type="dxa"/>
            <w:bottom w:w="0" w:type="dxa"/>
            <w:right w:w="0" w:type="dxa"/>
          </w:tblCellMar>
        </w:tblPrEx>
        <w:trPr>
          <w:trHeight w:val="249"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450B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南芬区人口总数（万人）</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646F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7</w:t>
            </w:r>
            <w:r>
              <w:rPr>
                <w:rFonts w:hint="eastAsia" w:ascii="Calibri" w:hAnsi="Calibri" w:eastAsia="宋体" w:cs="Times New Roman"/>
                <w:color w:val="auto"/>
                <w:kern w:val="2"/>
                <w:sz w:val="21"/>
                <w:szCs w:val="22"/>
                <w:highlight w:val="none"/>
              </w:rPr>
              <w:t>.</w:t>
            </w:r>
            <w:r>
              <w:rPr>
                <w:rFonts w:ascii="Calibri" w:hAnsi="Calibri" w:eastAsia="宋体" w:cs="Times New Roman"/>
                <w:color w:val="auto"/>
                <w:kern w:val="2"/>
                <w:sz w:val="21"/>
                <w:szCs w:val="22"/>
                <w:highlight w:val="none"/>
              </w:rPr>
              <w:t>2744</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767F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10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9694A">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BD59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334CF5BB">
        <w:tblPrEx>
          <w:tblCellMar>
            <w:top w:w="0" w:type="dxa"/>
            <w:left w:w="0" w:type="dxa"/>
            <w:bottom w:w="0" w:type="dxa"/>
            <w:right w:w="0" w:type="dxa"/>
          </w:tblCellMar>
        </w:tblPrEx>
        <w:trPr>
          <w:trHeight w:val="249"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2FCA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人均健康预期寿命（岁）</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8600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79.5</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A7B1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80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2586D">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E563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5E5C7BE5">
        <w:tblPrEx>
          <w:tblCellMar>
            <w:top w:w="0" w:type="dxa"/>
            <w:left w:w="0" w:type="dxa"/>
            <w:bottom w:w="0" w:type="dxa"/>
            <w:right w:w="0" w:type="dxa"/>
          </w:tblCellMar>
        </w:tblPrEx>
        <w:trPr>
          <w:trHeight w:val="218"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F9CA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高等教育毛入学率（%）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C45E2">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6</w:t>
            </w:r>
            <w:r>
              <w:rPr>
                <w:rFonts w:ascii="Calibri" w:hAnsi="Calibri" w:eastAsia="宋体" w:cs="Times New Roman"/>
                <w:color w:val="auto"/>
                <w:kern w:val="2"/>
                <w:sz w:val="21"/>
                <w:szCs w:val="22"/>
                <w:highlight w:val="none"/>
              </w:rPr>
              <w:t>0</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4D499">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6</w:t>
            </w:r>
            <w:r>
              <w:rPr>
                <w:rFonts w:ascii="Calibri" w:hAnsi="Calibri" w:eastAsia="宋体" w:cs="Times New Roman"/>
                <w:color w:val="auto"/>
                <w:kern w:val="2"/>
                <w:sz w:val="21"/>
                <w:szCs w:val="22"/>
                <w:highlight w:val="none"/>
              </w:rPr>
              <w:t>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EDF8A">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3DDE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173ED8A0">
        <w:tblPrEx>
          <w:tblCellMar>
            <w:top w:w="0" w:type="dxa"/>
            <w:left w:w="0" w:type="dxa"/>
            <w:bottom w:w="0" w:type="dxa"/>
            <w:right w:w="0" w:type="dxa"/>
          </w:tblCellMar>
        </w:tblPrEx>
        <w:trPr>
          <w:trHeight w:val="292"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A308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学前教育三年毛入园率（%）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EAF69">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98</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F720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99%</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F8C30">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244A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3BFA6963">
        <w:tblPrEx>
          <w:tblCellMar>
            <w:top w:w="0" w:type="dxa"/>
            <w:left w:w="0" w:type="dxa"/>
            <w:bottom w:w="0" w:type="dxa"/>
            <w:right w:w="0" w:type="dxa"/>
          </w:tblCellMar>
        </w:tblPrEx>
        <w:trPr>
          <w:trHeight w:val="271"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694D4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养老服务床位（张</w:t>
            </w:r>
            <w:r>
              <w:rPr>
                <w:rFonts w:hint="eastAsia" w:ascii="Calibri" w:hAnsi="Calibri" w:eastAsia="宋体" w:cs="Times New Roman"/>
                <w:color w:val="auto"/>
                <w:kern w:val="2"/>
                <w:sz w:val="21"/>
                <w:szCs w:val="22"/>
                <w:highlight w:val="none"/>
              </w:rPr>
              <w:t>/千人</w:t>
            </w:r>
            <w:r>
              <w:rPr>
                <w:rFonts w:ascii="Calibri" w:hAnsi="Calibri" w:eastAsia="宋体" w:cs="Times New Roman"/>
                <w:color w:val="auto"/>
                <w:kern w:val="2"/>
                <w:sz w:val="21"/>
                <w:szCs w:val="22"/>
                <w:highlight w:val="none"/>
              </w:rPr>
              <w:t>）</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15D4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0.0</w:t>
            </w:r>
            <w:r>
              <w:rPr>
                <w:rFonts w:hint="eastAsia" w:ascii="Calibri" w:hAnsi="Calibri" w:eastAsia="宋体" w:cs="Times New Roman"/>
                <w:color w:val="auto"/>
                <w:kern w:val="2"/>
                <w:sz w:val="21"/>
                <w:szCs w:val="22"/>
                <w:highlight w:val="none"/>
              </w:rPr>
              <w:t>12</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BDAB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0.014</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5C138">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51B2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预期性</w:t>
            </w:r>
          </w:p>
        </w:tc>
      </w:tr>
      <w:tr w14:paraId="735D3FE8">
        <w:tblPrEx>
          <w:tblCellMar>
            <w:top w:w="0" w:type="dxa"/>
            <w:left w:w="0" w:type="dxa"/>
            <w:bottom w:w="0" w:type="dxa"/>
            <w:right w:w="0" w:type="dxa"/>
          </w:tblCellMar>
        </w:tblPrEx>
        <w:trPr>
          <w:trHeight w:val="291" w:hRule="atLeast"/>
          <w:jc w:val="center"/>
        </w:trPr>
        <w:tc>
          <w:tcPr>
            <w:tcW w:w="905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BB257">
            <w:pPr>
              <w:widowControl w:val="0"/>
              <w:spacing w:line="240" w:lineRule="auto"/>
              <w:ind w:firstLine="0" w:firstLineChars="0"/>
              <w:jc w:val="both"/>
              <w:rPr>
                <w:rFonts w:ascii="Calibri" w:hAnsi="Calibri" w:eastAsia="宋体" w:cs="Times New Roman"/>
                <w:b/>
                <w:color w:val="auto"/>
                <w:kern w:val="2"/>
                <w:sz w:val="21"/>
                <w:szCs w:val="22"/>
                <w:highlight w:val="none"/>
              </w:rPr>
            </w:pPr>
            <w:r>
              <w:rPr>
                <w:rFonts w:ascii="Calibri" w:hAnsi="Calibri" w:eastAsia="宋体" w:cs="Times New Roman"/>
                <w:b/>
                <w:color w:val="auto"/>
                <w:kern w:val="2"/>
                <w:sz w:val="21"/>
                <w:szCs w:val="22"/>
                <w:highlight w:val="none"/>
              </w:rPr>
              <w:t>高质量生态发展（14）</w:t>
            </w:r>
          </w:p>
        </w:tc>
      </w:tr>
      <w:tr w14:paraId="473578C7">
        <w:tblPrEx>
          <w:tblCellMar>
            <w:top w:w="0" w:type="dxa"/>
            <w:left w:w="0" w:type="dxa"/>
            <w:bottom w:w="0" w:type="dxa"/>
            <w:right w:w="0" w:type="dxa"/>
          </w:tblCellMar>
        </w:tblPrEx>
        <w:trPr>
          <w:trHeight w:val="240"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F1CD8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清洁能源占一次能源消费比重（%）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1095922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1CB7BE47">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6D48B">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563E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22987FCB">
        <w:tblPrEx>
          <w:tblCellMar>
            <w:top w:w="0" w:type="dxa"/>
            <w:left w:w="0" w:type="dxa"/>
            <w:bottom w:w="0" w:type="dxa"/>
            <w:right w:w="0" w:type="dxa"/>
          </w:tblCellMar>
        </w:tblPrEx>
        <w:trPr>
          <w:trHeight w:val="240"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707D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万元地区生产总值用水量（立方米）</w:t>
            </w:r>
          </w:p>
        </w:tc>
        <w:tc>
          <w:tcPr>
            <w:tcW w:w="151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FAE14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28.9</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A668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F8685">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5E4B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752ED724">
        <w:tblPrEx>
          <w:tblCellMar>
            <w:top w:w="0" w:type="dxa"/>
            <w:left w:w="0" w:type="dxa"/>
            <w:bottom w:w="0" w:type="dxa"/>
            <w:right w:w="0" w:type="dxa"/>
          </w:tblCellMar>
        </w:tblPrEx>
        <w:trPr>
          <w:trHeight w:val="247"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E4F0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单位地区生产总值能源消耗降低（%）</w:t>
            </w:r>
          </w:p>
        </w:tc>
        <w:tc>
          <w:tcPr>
            <w:tcW w:w="151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8872B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12</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8CF2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03129">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3CC1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5573FF8B">
        <w:tblPrEx>
          <w:tblCellMar>
            <w:top w:w="0" w:type="dxa"/>
            <w:left w:w="0" w:type="dxa"/>
            <w:bottom w:w="0" w:type="dxa"/>
            <w:right w:w="0" w:type="dxa"/>
          </w:tblCellMar>
        </w:tblPrEx>
        <w:trPr>
          <w:trHeight w:val="268"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2D05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非化石能源占一次能源消费比重（%）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08F7977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3D79383F">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0F0D7">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B679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690BA133">
        <w:tblPrEx>
          <w:tblCellMar>
            <w:top w:w="0" w:type="dxa"/>
            <w:left w:w="0" w:type="dxa"/>
            <w:bottom w:w="0" w:type="dxa"/>
            <w:right w:w="0" w:type="dxa"/>
          </w:tblCellMar>
        </w:tblPrEx>
        <w:trPr>
          <w:trHeight w:val="277"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AC07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单位地区生产总值二氧化碳排放降低（%）</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06FA4BE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0B05841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56DC2">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9834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352744BF">
        <w:tblPrEx>
          <w:tblCellMar>
            <w:top w:w="0" w:type="dxa"/>
            <w:left w:w="0" w:type="dxa"/>
            <w:bottom w:w="0" w:type="dxa"/>
            <w:right w:w="0" w:type="dxa"/>
          </w:tblCellMar>
        </w:tblPrEx>
        <w:trPr>
          <w:trHeight w:val="236" w:hRule="atLeast"/>
          <w:jc w:val="center"/>
        </w:trPr>
        <w:tc>
          <w:tcPr>
            <w:tcW w:w="11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EAFD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森林增长</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3ABDD">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森林覆盖率（%）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70B1EFE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76.87</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26002">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76.87</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4725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0</w:t>
            </w: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293F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31DC69FF">
        <w:tblPrEx>
          <w:tblCellMar>
            <w:top w:w="0" w:type="dxa"/>
            <w:left w:w="0" w:type="dxa"/>
            <w:bottom w:w="0" w:type="dxa"/>
            <w:right w:w="0" w:type="dxa"/>
          </w:tblCellMar>
        </w:tblPrEx>
        <w:trPr>
          <w:trHeight w:val="280" w:hRule="atLeast"/>
          <w:jc w:val="center"/>
        </w:trPr>
        <w:tc>
          <w:tcPr>
            <w:tcW w:w="11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C5D32">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C906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森林蓄积量（亿立方米）</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76315AB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0.0</w:t>
            </w:r>
            <w:r>
              <w:rPr>
                <w:rFonts w:ascii="Calibri" w:hAnsi="Calibri" w:eastAsia="宋体" w:cs="Times New Roman"/>
                <w:color w:val="auto"/>
                <w:kern w:val="2"/>
                <w:sz w:val="21"/>
                <w:szCs w:val="22"/>
                <w:highlight w:val="none"/>
              </w:rPr>
              <w:t>377</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D8E5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0.0</w:t>
            </w:r>
            <w:r>
              <w:rPr>
                <w:rFonts w:ascii="Calibri" w:hAnsi="Calibri" w:eastAsia="宋体" w:cs="Times New Roman"/>
                <w:color w:val="auto"/>
                <w:kern w:val="2"/>
                <w:sz w:val="21"/>
                <w:szCs w:val="22"/>
                <w:highlight w:val="none"/>
              </w:rPr>
              <w:t>377</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29B0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0</w:t>
            </w: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BE3D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6F5AD988">
        <w:tblPrEx>
          <w:tblCellMar>
            <w:top w:w="0" w:type="dxa"/>
            <w:left w:w="0" w:type="dxa"/>
            <w:bottom w:w="0" w:type="dxa"/>
            <w:right w:w="0" w:type="dxa"/>
          </w:tblCellMar>
        </w:tblPrEx>
        <w:trPr>
          <w:trHeight w:val="290" w:hRule="atLeast"/>
          <w:jc w:val="center"/>
        </w:trPr>
        <w:tc>
          <w:tcPr>
            <w:tcW w:w="11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24319">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空气质量</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B9D83">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细颗粒物（PM2.5）浓度下降（%）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7D1BDA59">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85</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C9269">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35ug/m3以下</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0EC76">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69E5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09CF11CA">
        <w:tblPrEx>
          <w:tblCellMar>
            <w:top w:w="0" w:type="dxa"/>
            <w:left w:w="0" w:type="dxa"/>
            <w:bottom w:w="0" w:type="dxa"/>
            <w:right w:w="0" w:type="dxa"/>
          </w:tblCellMar>
        </w:tblPrEx>
        <w:trPr>
          <w:trHeight w:val="344" w:hRule="atLeast"/>
          <w:jc w:val="center"/>
        </w:trPr>
        <w:tc>
          <w:tcPr>
            <w:tcW w:w="11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0EAB3">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52FD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空气质量优良天数比率（%）</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5360CC7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15</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4931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90%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65A0B">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308E2">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6F170937">
        <w:tblPrEx>
          <w:tblCellMar>
            <w:top w:w="0" w:type="dxa"/>
            <w:left w:w="0" w:type="dxa"/>
            <w:bottom w:w="0" w:type="dxa"/>
            <w:right w:w="0" w:type="dxa"/>
          </w:tblCellMar>
        </w:tblPrEx>
        <w:trPr>
          <w:trHeight w:val="263"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B7F7D">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达到或好于III类水体比例（%）</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60CF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E01AB">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75%</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B1AA4">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97DA5">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669C948D">
        <w:tblPrEx>
          <w:tblCellMar>
            <w:top w:w="0" w:type="dxa"/>
            <w:left w:w="0" w:type="dxa"/>
            <w:bottom w:w="0" w:type="dxa"/>
            <w:right w:w="0" w:type="dxa"/>
          </w:tblCellMar>
        </w:tblPrEx>
        <w:trPr>
          <w:trHeight w:val="231"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64ECE">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化学需氧量下降（%）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2F1E417D">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6B1D4740">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13F66">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EF061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0DA51D76">
        <w:tblPrEx>
          <w:tblCellMar>
            <w:top w:w="0" w:type="dxa"/>
            <w:left w:w="0" w:type="dxa"/>
            <w:bottom w:w="0" w:type="dxa"/>
            <w:right w:w="0" w:type="dxa"/>
          </w:tblCellMar>
        </w:tblPrEx>
        <w:trPr>
          <w:trHeight w:val="317"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6D2CD">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氨氮排放量下降（%）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6248EFD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486B6C18">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C8D2A">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7F83C">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5D92AC54">
        <w:tblPrEx>
          <w:tblCellMar>
            <w:top w:w="0" w:type="dxa"/>
            <w:left w:w="0" w:type="dxa"/>
            <w:bottom w:w="0" w:type="dxa"/>
            <w:right w:w="0" w:type="dxa"/>
          </w:tblCellMar>
        </w:tblPrEx>
        <w:trPr>
          <w:trHeight w:val="317"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C521A">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二氧化硫排放量下降（%）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2404A08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551A3A0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91870">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B5BE6">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r w14:paraId="52B47F2A">
        <w:tblPrEx>
          <w:tblCellMar>
            <w:top w:w="0" w:type="dxa"/>
            <w:left w:w="0" w:type="dxa"/>
            <w:bottom w:w="0" w:type="dxa"/>
            <w:right w:w="0" w:type="dxa"/>
          </w:tblCellMar>
        </w:tblPrEx>
        <w:trPr>
          <w:trHeight w:val="220" w:hRule="atLeast"/>
          <w:jc w:val="center"/>
        </w:trPr>
        <w:tc>
          <w:tcPr>
            <w:tcW w:w="41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7297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氮氧化合物排放量下降（%）</w:t>
            </w:r>
          </w:p>
        </w:tc>
        <w:tc>
          <w:tcPr>
            <w:tcW w:w="1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1AD8F729">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4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063F7564">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hint="eastAsia" w:ascii="Calibri" w:hAnsi="Calibri" w:eastAsia="宋体" w:cs="Times New Roman"/>
                <w:color w:val="auto"/>
                <w:kern w:val="2"/>
                <w:sz w:val="21"/>
                <w:szCs w:val="22"/>
                <w:highlight w:val="none"/>
              </w:rPr>
              <w:t>完成市定目标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3C10B">
            <w:pPr>
              <w:widowControl w:val="0"/>
              <w:spacing w:line="240" w:lineRule="auto"/>
              <w:ind w:firstLine="0" w:firstLineChars="0"/>
              <w:jc w:val="both"/>
              <w:rPr>
                <w:rFonts w:ascii="Calibri" w:hAnsi="Calibri" w:eastAsia="宋体" w:cs="Times New Roman"/>
                <w:color w:val="auto"/>
                <w:kern w:val="2"/>
                <w:sz w:val="21"/>
                <w:szCs w:val="22"/>
                <w:highlight w:val="none"/>
              </w:rPr>
            </w:pPr>
          </w:p>
        </w:tc>
        <w:tc>
          <w:tcPr>
            <w:tcW w:w="8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8BAB1">
            <w:pPr>
              <w:widowControl w:val="0"/>
              <w:spacing w:line="240" w:lineRule="auto"/>
              <w:ind w:firstLine="0" w:firstLineChars="0"/>
              <w:jc w:val="both"/>
              <w:rPr>
                <w:rFonts w:ascii="Calibri" w:hAnsi="Calibri" w:eastAsia="宋体" w:cs="Times New Roman"/>
                <w:color w:val="auto"/>
                <w:kern w:val="2"/>
                <w:sz w:val="21"/>
                <w:szCs w:val="22"/>
                <w:highlight w:val="none"/>
              </w:rPr>
            </w:pPr>
            <w:r>
              <w:rPr>
                <w:rFonts w:ascii="Calibri" w:hAnsi="Calibri" w:eastAsia="宋体" w:cs="Times New Roman"/>
                <w:color w:val="auto"/>
                <w:kern w:val="2"/>
                <w:sz w:val="21"/>
                <w:szCs w:val="22"/>
                <w:highlight w:val="none"/>
              </w:rPr>
              <w:t>约束性</w:t>
            </w:r>
          </w:p>
        </w:tc>
      </w:tr>
    </w:tbl>
    <w:p w14:paraId="36E1D9DF">
      <w:pPr>
        <w:ind w:firstLine="560"/>
        <w:rPr>
          <w:color w:val="auto"/>
          <w:kern w:val="44"/>
          <w:highlight w:val="none"/>
        </w:rPr>
      </w:pPr>
      <w:r>
        <w:rPr>
          <w:color w:val="auto"/>
          <w:highlight w:val="none"/>
        </w:rPr>
        <w:br w:type="page"/>
      </w:r>
    </w:p>
    <w:p w14:paraId="6564056E">
      <w:pPr>
        <w:pStyle w:val="3"/>
        <w:ind w:firstLine="643"/>
        <w:rPr>
          <w:color w:val="auto"/>
          <w:highlight w:val="none"/>
        </w:rPr>
      </w:pPr>
      <w:bookmarkStart w:id="9" w:name="_Toc143701955"/>
      <w:r>
        <w:rPr>
          <w:color w:val="auto"/>
          <w:highlight w:val="none"/>
        </w:rPr>
        <w:t>第</w:t>
      </w:r>
      <w:r>
        <w:rPr>
          <w:rFonts w:hint="eastAsia"/>
          <w:color w:val="auto"/>
          <w:highlight w:val="none"/>
        </w:rPr>
        <w:t>三</w:t>
      </w:r>
      <w:r>
        <w:rPr>
          <w:color w:val="auto"/>
          <w:highlight w:val="none"/>
        </w:rPr>
        <w:t>章</w:t>
      </w:r>
      <w:r>
        <w:rPr>
          <w:rFonts w:hint="eastAsia"/>
          <w:color w:val="auto"/>
          <w:highlight w:val="none"/>
        </w:rPr>
        <w:t xml:space="preserve"> 优化营商篇</w:t>
      </w:r>
      <w:bookmarkEnd w:id="9"/>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15B40BD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395AD18B">
            <w:pPr>
              <w:pStyle w:val="8"/>
              <w:ind w:firstLine="480"/>
              <w:rPr>
                <w:color w:val="auto"/>
                <w:sz w:val="24"/>
                <w:highlight w:val="none"/>
              </w:rPr>
            </w:pPr>
            <w:r>
              <w:rPr>
                <w:color w:val="auto"/>
                <w:sz w:val="24"/>
                <w:highlight w:val="none"/>
              </w:rPr>
              <w:t>政策依据</w:t>
            </w:r>
            <w:r>
              <w:rPr>
                <w:rFonts w:hint="eastAsia"/>
                <w:color w:val="auto"/>
                <w:sz w:val="24"/>
                <w:highlight w:val="none"/>
              </w:rPr>
              <w:t>：国务院《</w:t>
            </w:r>
            <w:r>
              <w:rPr>
                <w:rFonts w:hint="eastAsia"/>
                <w:color w:val="auto"/>
                <w:sz w:val="24"/>
                <w:highlight w:val="none"/>
                <w:lang w:eastAsia="zh-CN"/>
              </w:rPr>
              <w:t>优化营商环境</w:t>
            </w:r>
            <w:r>
              <w:rPr>
                <w:rFonts w:hint="eastAsia"/>
                <w:color w:val="auto"/>
                <w:sz w:val="24"/>
                <w:highlight w:val="none"/>
              </w:rPr>
              <w:t>条例》、《辽宁省优化营商环境条例》、《关于加强金融服务民营企业的若干意见》、《关于营造更好发展环境支持民营企业改革发展的意见》、《中共辽宁省委辽宁省人民政府关于推进供给侧结构性改革促进全面振兴的实施意见》</w:t>
            </w:r>
          </w:p>
        </w:tc>
      </w:tr>
      <w:tr w14:paraId="1894D3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488EF221">
            <w:pPr>
              <w:pStyle w:val="8"/>
              <w:ind w:firstLine="480"/>
              <w:rPr>
                <w:color w:val="auto"/>
                <w:sz w:val="24"/>
                <w:highlight w:val="none"/>
              </w:rPr>
            </w:pPr>
            <w:r>
              <w:rPr>
                <w:color w:val="auto"/>
                <w:sz w:val="24"/>
                <w:highlight w:val="none"/>
              </w:rPr>
              <w:t>规划主题</w:t>
            </w:r>
            <w:r>
              <w:rPr>
                <w:rFonts w:hint="eastAsia"/>
                <w:color w:val="auto"/>
                <w:sz w:val="24"/>
                <w:highlight w:val="none"/>
              </w:rPr>
              <w:t>：优化营商环境，提升服务促进南芬发展</w:t>
            </w:r>
          </w:p>
        </w:tc>
      </w:tr>
      <w:tr w14:paraId="1C9277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40E85CB8">
            <w:pPr>
              <w:pStyle w:val="8"/>
              <w:ind w:firstLine="480"/>
              <w:rPr>
                <w:color w:val="auto"/>
                <w:sz w:val="24"/>
                <w:highlight w:val="none"/>
              </w:rPr>
            </w:pPr>
            <w:r>
              <w:rPr>
                <w:color w:val="auto"/>
                <w:sz w:val="24"/>
                <w:highlight w:val="none"/>
              </w:rPr>
              <w:t>规划领域</w:t>
            </w:r>
            <w:r>
              <w:rPr>
                <w:rFonts w:hint="eastAsia"/>
                <w:color w:val="auto"/>
                <w:sz w:val="24"/>
                <w:highlight w:val="none"/>
              </w:rPr>
              <w:t>：营商环境方面</w:t>
            </w:r>
          </w:p>
        </w:tc>
      </w:tr>
      <w:tr w14:paraId="480C64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026938AE">
            <w:pPr>
              <w:pStyle w:val="8"/>
              <w:ind w:firstLine="480"/>
              <w:rPr>
                <w:color w:val="auto"/>
                <w:sz w:val="24"/>
                <w:highlight w:val="none"/>
              </w:rPr>
            </w:pPr>
            <w:r>
              <w:rPr>
                <w:color w:val="auto"/>
                <w:sz w:val="24"/>
                <w:highlight w:val="none"/>
              </w:rPr>
              <w:t>规划重点</w:t>
            </w:r>
            <w:r>
              <w:rPr>
                <w:rFonts w:hint="eastAsia"/>
                <w:color w:val="auto"/>
                <w:sz w:val="24"/>
                <w:highlight w:val="none"/>
              </w:rPr>
              <w:t>：营商环境、供给侧结构性改革、双循环</w:t>
            </w:r>
          </w:p>
        </w:tc>
      </w:tr>
    </w:tbl>
    <w:p w14:paraId="09640DFB">
      <w:pPr>
        <w:ind w:firstLine="560"/>
        <w:rPr>
          <w:color w:val="auto"/>
          <w:highlight w:val="none"/>
        </w:rPr>
      </w:pPr>
      <w:r>
        <w:rPr>
          <w:rFonts w:hint="eastAsia"/>
          <w:color w:val="auto"/>
          <w:highlight w:val="none"/>
        </w:rPr>
        <w:t>南芬区经济社会发展需要积极推进市场化改革，不断改善企业赖以生存的发展环境，为经济社会可持续发展构建良好的制度基础。深入优化营商环境，促进南芬区企业提升生产效率和生产能力，建设适合各类企业发展的充满活力的</w:t>
      </w:r>
      <w:r>
        <w:rPr>
          <w:rFonts w:hint="eastAsia"/>
          <w:b/>
          <w:bCs/>
          <w:color w:val="auto"/>
          <w:highlight w:val="none"/>
        </w:rPr>
        <w:t>亲和</w:t>
      </w:r>
      <w:r>
        <w:rPr>
          <w:rFonts w:hint="eastAsia"/>
          <w:color w:val="auto"/>
          <w:highlight w:val="none"/>
        </w:rPr>
        <w:t>南芬。</w:t>
      </w:r>
    </w:p>
    <w:p w14:paraId="50FA1165">
      <w:pPr>
        <w:pStyle w:val="4"/>
        <w:ind w:firstLine="643"/>
        <w:rPr>
          <w:color w:val="auto"/>
          <w:highlight w:val="none"/>
        </w:rPr>
      </w:pPr>
      <w:bookmarkStart w:id="10" w:name="_Toc143701956"/>
      <w:r>
        <w:rPr>
          <w:color w:val="auto"/>
          <w:highlight w:val="none"/>
        </w:rPr>
        <w:t>第</w:t>
      </w:r>
      <w:r>
        <w:rPr>
          <w:rFonts w:hint="eastAsia"/>
          <w:color w:val="auto"/>
          <w:highlight w:val="none"/>
        </w:rPr>
        <w:t>一</w:t>
      </w:r>
      <w:r>
        <w:rPr>
          <w:color w:val="auto"/>
          <w:highlight w:val="none"/>
        </w:rPr>
        <w:t>节</w:t>
      </w:r>
      <w:r>
        <w:rPr>
          <w:rFonts w:hint="eastAsia"/>
          <w:color w:val="auto"/>
          <w:highlight w:val="none"/>
        </w:rPr>
        <w:t xml:space="preserve"> 落实党的政策 完善营商环境服务机制</w:t>
      </w:r>
      <w:bookmarkEnd w:id="10"/>
    </w:p>
    <w:p w14:paraId="2D3E22A5">
      <w:pPr>
        <w:ind w:firstLine="560"/>
        <w:rPr>
          <w:color w:val="auto"/>
          <w:highlight w:val="none"/>
        </w:rPr>
      </w:pPr>
      <w:r>
        <w:rPr>
          <w:rFonts w:hint="eastAsia"/>
          <w:color w:val="auto"/>
          <w:highlight w:val="none"/>
        </w:rPr>
        <w:t>深入落实行政执法事项清单管理和行政裁量权基准制度，开展打击侵犯市场主体合法权益系列专项行动，实现“互联网</w:t>
      </w:r>
      <w:r>
        <w:rPr>
          <w:color w:val="auto"/>
          <w:highlight w:val="none"/>
        </w:rPr>
        <w:t>+监管”100%全覆盖。持续深化“放管服”改革，依申请政务服务事项100%实现“网上办”，高频便民利企服务事项“网上办”“掌上办”“就近办”实现全覆盖。推动惠企强企政策免申即享、直达快享。开展营商环境问题“万件清理”专项行动。健全营商环境市场主体“好差评”评价机制，好评率达到90%以上。构建亲清政商关系，建立规范化、机制化政企沟通渠道，形成尊重服务企业家良好氛围。进一步推进法治政府建设，加强党对法治政府建</w:t>
      </w:r>
      <w:r>
        <w:rPr>
          <w:rFonts w:hint="eastAsia"/>
          <w:color w:val="auto"/>
          <w:highlight w:val="none"/>
        </w:rPr>
        <w:t>设的领导，保障法治政府建设强力推进。加强诚信政府建设，提升信用城市建设水平。对标国家和省评价体系，建立和完善以市场主体和社会公众满意度为导向的营商环境评价体系。到</w:t>
      </w:r>
      <w:r>
        <w:rPr>
          <w:color w:val="auto"/>
          <w:highlight w:val="none"/>
        </w:rPr>
        <w:t>2025年，政府失信行为得到彻底整治。</w:t>
      </w:r>
    </w:p>
    <w:p w14:paraId="7179947D">
      <w:pPr>
        <w:pStyle w:val="4"/>
        <w:ind w:firstLine="643"/>
        <w:rPr>
          <w:color w:val="auto"/>
          <w:highlight w:val="none"/>
        </w:rPr>
      </w:pPr>
      <w:bookmarkStart w:id="11" w:name="_Toc143701957"/>
      <w:r>
        <w:rPr>
          <w:color w:val="auto"/>
          <w:highlight w:val="none"/>
        </w:rPr>
        <w:t>第</w:t>
      </w:r>
      <w:r>
        <w:rPr>
          <w:rFonts w:hint="eastAsia"/>
          <w:color w:val="auto"/>
          <w:highlight w:val="none"/>
        </w:rPr>
        <w:t>二</w:t>
      </w:r>
      <w:r>
        <w:rPr>
          <w:color w:val="auto"/>
          <w:highlight w:val="none"/>
        </w:rPr>
        <w:t>节</w:t>
      </w:r>
      <w:r>
        <w:rPr>
          <w:rFonts w:hint="eastAsia"/>
          <w:color w:val="auto"/>
          <w:highlight w:val="none"/>
        </w:rPr>
        <w:t xml:space="preserve"> 优化融资环境 解决企业融资难的问题</w:t>
      </w:r>
      <w:bookmarkEnd w:id="11"/>
    </w:p>
    <w:p w14:paraId="1F49FB0E">
      <w:pPr>
        <w:ind w:firstLine="562"/>
        <w:rPr>
          <w:color w:val="auto"/>
          <w:highlight w:val="none"/>
        </w:rPr>
      </w:pPr>
      <w:r>
        <w:rPr>
          <w:rFonts w:hint="eastAsia"/>
          <w:b/>
          <w:bCs/>
          <w:color w:val="auto"/>
          <w:highlight w:val="none"/>
        </w:rPr>
        <w:t>提升金融业对实体经济服务效率。</w:t>
      </w:r>
      <w:r>
        <w:rPr>
          <w:rFonts w:hint="eastAsia"/>
          <w:color w:val="auto"/>
          <w:highlight w:val="none"/>
        </w:rPr>
        <w:t>鼓励金融机构积极创新产品和服务模式，推动政策性金融、商业性金融产品和工具组合应用，为企业提供综合性金融支持。引导银行业金融机构提升对实体经济服务质效，适当提高中长期贷款比例，积极开展供应链融资，推动符合条件的市场主体成立南芬区产业投资基金。通过金融控股公司发起成立创业投资基金、农业产业化投资基金、信托投资基金等，金融和投资服务组织在南芬区建立分支机构，引导并规范金融市场的合理竞争；探索建设市场化的融资平台，调动民间资本参与重大基础设施建设。</w:t>
      </w:r>
    </w:p>
    <w:p w14:paraId="3D1972A9">
      <w:pPr>
        <w:ind w:firstLine="562"/>
        <w:rPr>
          <w:color w:val="auto"/>
          <w:highlight w:val="none"/>
        </w:rPr>
      </w:pPr>
      <w:r>
        <w:rPr>
          <w:rFonts w:hint="eastAsia"/>
          <w:b/>
          <w:bCs/>
          <w:color w:val="auto"/>
          <w:highlight w:val="none"/>
        </w:rPr>
        <w:t>支持企业融资发展。</w:t>
      </w:r>
      <w:r>
        <w:rPr>
          <w:rFonts w:hint="eastAsia"/>
          <w:color w:val="auto"/>
          <w:highlight w:val="none"/>
        </w:rPr>
        <w:t>进一步支持本溪市聚鑫达机械制造有限公司、本溪龙新矿业有限公司、辽宁东铄新材料科技有限公司包装上市融资，将企业做大做强。支持发展以中小微民营企业为主要服务对象的中小金融机构，出台融资产品，为企业发展注入资金活力。发挥农商银行“扎根三农、服务中小”的特色，创新惠农产品，探索混业经营的新型合作金融模式，提升服务“三农”和实体经济，有效增加区域资金供应，加大对地方经济支持力度。不断扩大丰泰银行普惠金融覆盖面，做好增量、扩面、提质、增效，加大支农支小信贷规模，提供特色金融服务，打造区域“小微”品牌银行。“十四五”末期，全区金融贷款规模达到35亿元。</w:t>
      </w:r>
    </w:p>
    <w:p w14:paraId="3A621BEA">
      <w:pPr>
        <w:pStyle w:val="4"/>
        <w:ind w:firstLine="643"/>
        <w:rPr>
          <w:color w:val="auto"/>
          <w:highlight w:val="none"/>
        </w:rPr>
      </w:pPr>
      <w:bookmarkStart w:id="12" w:name="_Toc143701958"/>
      <w:r>
        <w:rPr>
          <w:color w:val="auto"/>
          <w:highlight w:val="none"/>
        </w:rPr>
        <w:t>第</w:t>
      </w:r>
      <w:r>
        <w:rPr>
          <w:rFonts w:hint="eastAsia"/>
          <w:color w:val="auto"/>
          <w:highlight w:val="none"/>
        </w:rPr>
        <w:t>三</w:t>
      </w:r>
      <w:r>
        <w:rPr>
          <w:color w:val="auto"/>
          <w:highlight w:val="none"/>
        </w:rPr>
        <w:t>节</w:t>
      </w:r>
      <w:r>
        <w:rPr>
          <w:rFonts w:hint="eastAsia"/>
          <w:color w:val="auto"/>
          <w:highlight w:val="none"/>
        </w:rPr>
        <w:t xml:space="preserve"> 推供给侧改革 扶持民营经济持续发展</w:t>
      </w:r>
      <w:bookmarkEnd w:id="12"/>
    </w:p>
    <w:p w14:paraId="1326999A">
      <w:pPr>
        <w:ind w:firstLine="592"/>
        <w:rPr>
          <w:color w:val="auto"/>
          <w:highlight w:val="none"/>
        </w:rPr>
      </w:pPr>
      <w:r>
        <w:rPr>
          <w:rFonts w:hint="eastAsia" w:ascii="仿宋" w:hAnsi="仿宋" w:cs="仿宋"/>
          <w:color w:val="auto"/>
          <w:spacing w:val="8"/>
          <w:szCs w:val="28"/>
          <w:highlight w:val="none"/>
          <w:shd w:val="clear" w:color="auto" w:fill="FFFFFF"/>
        </w:rPr>
        <w:t>深入推进“双本”融合发展，提高本钢本地配套率</w:t>
      </w:r>
      <w:r>
        <w:rPr>
          <w:rFonts w:hint="eastAsia" w:ascii="仿宋" w:hAnsi="仿宋" w:cs="仿宋"/>
          <w:color w:val="auto"/>
          <w:szCs w:val="28"/>
          <w:highlight w:val="none"/>
        </w:rPr>
        <w:t>，加强和本钢的合作共建，共同推进产业发展、共同搭建交流合作平台、共同完善配套支撑体系、共同推进历史遗留问题等相关事宜。</w:t>
      </w:r>
      <w:r>
        <w:rPr>
          <w:rFonts w:hint="eastAsia"/>
          <w:color w:val="auto"/>
          <w:highlight w:val="none"/>
        </w:rPr>
        <w:t>实施民营经济市场主体培育计划，建立民营经济发展综合服务平台。着力破除市场准入壁垒，加快清理与企业性质挂钩的行业准入、资质标准、产业补贴等规定和做法，深化“政企直通车”企业服务机制，依法保护民营企业产权和企业家合法权益。全面落实减税降费政策，进一步规范涉企收费，减轻市场主体经营负担。着力破除要素自由有序流动的体制机制障碍，进一步降低产业发展要素、税负、物流及制度性交易成本。</w:t>
      </w:r>
      <w:r>
        <w:rPr>
          <w:color w:val="auto"/>
          <w:highlight w:val="none"/>
        </w:rPr>
        <w:t>2025年，市场主体总量达到5600户，年均增长6%。</w:t>
      </w:r>
    </w:p>
    <w:p w14:paraId="6571362C">
      <w:pPr>
        <w:pStyle w:val="4"/>
        <w:ind w:firstLine="643"/>
        <w:rPr>
          <w:color w:val="auto"/>
          <w:highlight w:val="none"/>
        </w:rPr>
      </w:pPr>
      <w:bookmarkStart w:id="13" w:name="_Toc143701959"/>
      <w:r>
        <w:rPr>
          <w:color w:val="auto"/>
          <w:highlight w:val="none"/>
        </w:rPr>
        <w:t>第</w:t>
      </w:r>
      <w:r>
        <w:rPr>
          <w:rFonts w:hint="eastAsia"/>
          <w:color w:val="auto"/>
          <w:highlight w:val="none"/>
        </w:rPr>
        <w:t>四</w:t>
      </w:r>
      <w:r>
        <w:rPr>
          <w:color w:val="auto"/>
          <w:highlight w:val="none"/>
        </w:rPr>
        <w:t>节</w:t>
      </w:r>
      <w:r>
        <w:rPr>
          <w:rFonts w:hint="eastAsia"/>
          <w:color w:val="auto"/>
          <w:highlight w:val="none"/>
        </w:rPr>
        <w:t xml:space="preserve"> 加强开放合作 促进“双循环”新格局</w:t>
      </w:r>
      <w:bookmarkEnd w:id="13"/>
    </w:p>
    <w:p w14:paraId="2DC2B5E5">
      <w:pPr>
        <w:ind w:firstLine="560"/>
        <w:rPr>
          <w:color w:val="auto"/>
          <w:highlight w:val="none"/>
        </w:rPr>
      </w:pPr>
      <w:r>
        <w:rPr>
          <w:rFonts w:hint="eastAsia"/>
          <w:color w:val="auto"/>
          <w:highlight w:val="none"/>
        </w:rPr>
        <w:t>1. 主动融入合作战略，深度融入沈阳现代化都市圈</w:t>
      </w:r>
    </w:p>
    <w:p w14:paraId="5DA766B8">
      <w:pPr>
        <w:widowControl w:val="0"/>
        <w:spacing w:line="556" w:lineRule="exact"/>
        <w:ind w:firstLine="560"/>
        <w:rPr>
          <w:color w:val="auto"/>
          <w:highlight w:val="none"/>
        </w:rPr>
      </w:pPr>
      <w:r>
        <w:rPr>
          <w:rFonts w:hint="eastAsia"/>
          <w:color w:val="auto"/>
          <w:highlight w:val="none"/>
        </w:rPr>
        <w:t>积极对接国家重大发展战略，与国家战略同频共振。突出以商招商、产业链招商，立足“一区、三基地”发展定位，充分发挥资源优势、产业优势、生态优势，主动融入沈阳都市圈，加强与铁西区深度合作。搭建产业对接平台，</w:t>
      </w:r>
      <w:r>
        <w:rPr>
          <w:rFonts w:hint="eastAsia" w:ascii="仿宋_GB2312" w:hAnsi="仿宋_GB2312" w:eastAsia="仿宋_GB2312" w:cs="仿宋_GB2312"/>
          <w:color w:val="auto"/>
          <w:szCs w:val="28"/>
          <w:highlight w:val="none"/>
        </w:rPr>
        <w:t>着力增强沈阳现代化都市圈现代产业基地配套协作能力。</w:t>
      </w:r>
      <w:r>
        <w:rPr>
          <w:rFonts w:hint="eastAsia"/>
          <w:color w:val="auto"/>
          <w:highlight w:val="none"/>
        </w:rPr>
        <w:t>积极推进沈本一体化（同城化），</w:t>
      </w:r>
      <w:r>
        <w:rPr>
          <w:rFonts w:hint="eastAsia" w:ascii="仿宋_GB2312" w:hAnsi="仿宋_GB2312" w:eastAsia="仿宋_GB2312" w:cs="仿宋_GB2312"/>
          <w:color w:val="auto"/>
          <w:szCs w:val="28"/>
          <w:highlight w:val="none"/>
        </w:rPr>
        <w:t>深耕交通共联，文旅共链，平台共享，生态共治等领域协同发展，推进一批重点项目和事项落地落实。</w:t>
      </w:r>
      <w:r>
        <w:rPr>
          <w:rFonts w:hint="eastAsia"/>
          <w:color w:val="auto"/>
          <w:highlight w:val="none"/>
        </w:rPr>
        <w:t>聚焦珠三角、长三角、京津冀等地区，充分利用山东地区产业转移</w:t>
      </w:r>
      <w:r>
        <w:rPr>
          <w:rFonts w:hint="eastAsia"/>
          <w:color w:val="auto"/>
          <w:highlight w:val="none"/>
          <w:lang w:eastAsia="zh-CN"/>
        </w:rPr>
        <w:t>有利契机</w:t>
      </w:r>
      <w:r>
        <w:rPr>
          <w:rFonts w:hint="eastAsia"/>
          <w:color w:val="auto"/>
          <w:highlight w:val="none"/>
        </w:rPr>
        <w:t>，不断拓展第三方专业招商渠道，在产业承接、合作共建、人才交流等领域开辟新空间，全力促进带动性强的工业项目和产业配套项目落地。</w:t>
      </w:r>
    </w:p>
    <w:p w14:paraId="2588726D">
      <w:pPr>
        <w:ind w:firstLine="560"/>
        <w:rPr>
          <w:color w:val="auto"/>
          <w:highlight w:val="none"/>
        </w:rPr>
      </w:pPr>
      <w:r>
        <w:rPr>
          <w:rFonts w:hint="eastAsia"/>
          <w:color w:val="auto"/>
          <w:highlight w:val="none"/>
        </w:rPr>
        <w:t>2. 开展招商引资活动，促进投资驱动振兴</w:t>
      </w:r>
      <w:r>
        <w:rPr>
          <w:color w:val="auto"/>
          <w:highlight w:val="none"/>
        </w:rPr>
        <w:t>新南芬</w:t>
      </w:r>
    </w:p>
    <w:p w14:paraId="082E0FBC">
      <w:pPr>
        <w:ind w:firstLine="560"/>
        <w:rPr>
          <w:color w:val="auto"/>
          <w:highlight w:val="none"/>
        </w:rPr>
      </w:pPr>
      <w:r>
        <w:rPr>
          <w:rFonts w:hint="eastAsia"/>
          <w:color w:val="auto"/>
          <w:highlight w:val="none"/>
        </w:rPr>
        <w:t>深入开展“招商引资竞赛年”活动。实施招商能力提升专项行动，打造专业化招商队伍。继续实施全员招商，营造全民关心、全域参与招商引资的氛围。认真落实泰本两地互访会商，突出两地产业协同发展，深化重点领域务实合作。实施“招大引强”工程，拓展国际交流渠道，积极谋划外资招商活动，瞄准行业头部企业和知名跨国公司，加大制造业外资项目的招引力度，鼓励外商投资设立研发中心。创新招商运营模式，推进“一库三清单四机制”运营模式建设。围绕项目储备、洽谈签约、落地开工等关键环节，强化招商效能转化，</w:t>
      </w:r>
      <w:r>
        <w:rPr>
          <w:color w:val="auto"/>
          <w:highlight w:val="none"/>
        </w:rPr>
        <w:t>2025年，引进国内实际到位资金达到60亿元，年均增长10%。累计引进外商投资项目30个以上，实</w:t>
      </w:r>
      <w:r>
        <w:rPr>
          <w:rFonts w:hint="eastAsia"/>
          <w:color w:val="auto"/>
          <w:highlight w:val="none"/>
        </w:rPr>
        <w:t>际利用外资总量实现争先晋位。</w:t>
      </w:r>
    </w:p>
    <w:p w14:paraId="10069C3A">
      <w:pPr>
        <w:ind w:firstLine="560"/>
        <w:rPr>
          <w:color w:val="auto"/>
          <w:highlight w:val="none"/>
        </w:rPr>
      </w:pPr>
      <w:r>
        <w:rPr>
          <w:color w:val="auto"/>
          <w:highlight w:val="none"/>
        </w:rPr>
        <w:t>3.</w:t>
      </w:r>
      <w:r>
        <w:rPr>
          <w:rFonts w:hint="eastAsia"/>
          <w:color w:val="auto"/>
          <w:highlight w:val="none"/>
        </w:rPr>
        <w:t xml:space="preserve"> 提升对外贸易水平</w:t>
      </w:r>
      <w:r>
        <w:rPr>
          <w:color w:val="auto"/>
          <w:highlight w:val="none"/>
        </w:rPr>
        <w:t>，促进“双循环”新发展格局</w:t>
      </w:r>
    </w:p>
    <w:p w14:paraId="6CF396C7">
      <w:pPr>
        <w:ind w:firstLine="560"/>
        <w:rPr>
          <w:color w:val="auto"/>
          <w:highlight w:val="none"/>
        </w:rPr>
      </w:pPr>
      <w:r>
        <w:rPr>
          <w:rFonts w:hint="eastAsia"/>
          <w:color w:val="auto"/>
          <w:highlight w:val="none"/>
        </w:rPr>
        <w:t>实施外贸“双量增长”计划，推动“零外贸”规上工业企业和地方品牌企业实现进出口。培育壮大外贸主体，推动泰家木业扩大出口规模、东烁对外贸易发展，实现出口率逐年提升。多元化开拓国际市场，每年组织超过</w:t>
      </w:r>
      <w:r>
        <w:rPr>
          <w:color w:val="auto"/>
          <w:highlight w:val="none"/>
        </w:rPr>
        <w:t>5家企业参加辽宁出口商品展、广交会、跨国采购洽谈会等重点展会，帮助企业开拓国际合作，扩大对外贸易市场份额。2025年，外贸进出口总额达到1亿元，年均增长50%。</w:t>
      </w:r>
    </w:p>
    <w:p w14:paraId="766159F2">
      <w:pPr>
        <w:widowControl w:val="0"/>
        <w:spacing w:line="560" w:lineRule="exact"/>
        <w:ind w:left="560" w:firstLine="0" w:firstLineChars="0"/>
        <w:rPr>
          <w:rFonts w:ascii="仿宋" w:hAnsi="仿宋" w:cs="仿宋"/>
          <w:color w:val="auto"/>
          <w:szCs w:val="28"/>
          <w:highlight w:val="none"/>
        </w:rPr>
      </w:pPr>
      <w:r>
        <w:rPr>
          <w:rFonts w:hint="eastAsia" w:ascii="仿宋" w:hAnsi="仿宋" w:cs="仿宋"/>
          <w:color w:val="auto"/>
          <w:szCs w:val="28"/>
          <w:highlight w:val="none"/>
        </w:rPr>
        <w:t>4.</w:t>
      </w:r>
      <w:r>
        <w:rPr>
          <w:rFonts w:ascii="仿宋" w:hAnsi="仿宋" w:cs="仿宋"/>
          <w:color w:val="auto"/>
          <w:szCs w:val="28"/>
          <w:highlight w:val="none"/>
        </w:rPr>
        <w:t xml:space="preserve"> </w:t>
      </w:r>
      <w:r>
        <w:rPr>
          <w:rFonts w:hint="eastAsia" w:ascii="仿宋" w:hAnsi="仿宋" w:cs="仿宋"/>
          <w:color w:val="auto"/>
          <w:szCs w:val="28"/>
          <w:highlight w:val="none"/>
        </w:rPr>
        <w:t>加快释放消费需求，促进</w:t>
      </w:r>
      <w:r>
        <w:rPr>
          <w:color w:val="auto"/>
          <w:highlight w:val="none"/>
        </w:rPr>
        <w:fldChar w:fldCharType="begin"/>
      </w:r>
      <w:r>
        <w:rPr>
          <w:color w:val="auto"/>
          <w:highlight w:val="none"/>
        </w:rPr>
        <w:instrText xml:space="preserve"> HYPERLINK "https://www.baidu.com/link?url=HtOA3ftbald42b2rRvGdbog0vibmTI4pAgkhBGCLfpXDgrmaM5BZsjwNV1cCLXz85z7iJVh_01KnBe72RIEq69sZl9O3HDwlzRqJ4vDxaOuyZawIlY1LVCX3DhLGfVV13wVpGIN7h4YlAY96Dk8nEa&amp;wd=&amp;eqid=e7175ee30000f65d0000000364198efe" \t "https://www.baidu.com/_blank" </w:instrText>
      </w:r>
      <w:r>
        <w:rPr>
          <w:color w:val="auto"/>
          <w:highlight w:val="none"/>
        </w:rPr>
        <w:fldChar w:fldCharType="separate"/>
      </w:r>
      <w:r>
        <w:rPr>
          <w:rStyle w:val="25"/>
          <w:rFonts w:hint="eastAsia" w:ascii="仿宋" w:hAnsi="仿宋" w:cs="仿宋"/>
          <w:color w:val="auto"/>
          <w:szCs w:val="28"/>
          <w:highlight w:val="none"/>
          <w:u w:val="none"/>
        </w:rPr>
        <w:t>消费</w:t>
      </w:r>
      <w:r>
        <w:rPr>
          <w:rStyle w:val="25"/>
          <w:rFonts w:hint="eastAsia" w:ascii="仿宋" w:hAnsi="仿宋" w:cs="仿宋"/>
          <w:color w:val="auto"/>
          <w:szCs w:val="28"/>
          <w:highlight w:val="none"/>
          <w:u w:val="none"/>
        </w:rPr>
        <w:fldChar w:fldCharType="end"/>
      </w:r>
      <w:r>
        <w:rPr>
          <w:rFonts w:hint="eastAsia" w:ascii="仿宋" w:hAnsi="仿宋" w:cs="仿宋"/>
          <w:color w:val="auto"/>
          <w:szCs w:val="28"/>
          <w:highlight w:val="none"/>
        </w:rPr>
        <w:t>提质扩容</w:t>
      </w:r>
    </w:p>
    <w:p w14:paraId="355C725F">
      <w:pPr>
        <w:widowControl w:val="0"/>
        <w:spacing w:line="560" w:lineRule="exact"/>
        <w:ind w:firstLine="560"/>
        <w:rPr>
          <w:rFonts w:ascii="仿宋" w:hAnsi="仿宋" w:cs="仿宋"/>
          <w:color w:val="auto"/>
          <w:szCs w:val="28"/>
          <w:highlight w:val="none"/>
        </w:rPr>
      </w:pPr>
      <w:r>
        <w:rPr>
          <w:rFonts w:hint="eastAsia" w:ascii="仿宋" w:hAnsi="仿宋" w:cs="仿宋"/>
          <w:color w:val="auto"/>
          <w:highlight w:val="none"/>
        </w:rPr>
        <w:t>从供给侧和需求侧两端发力,切实在增强消费能力、改善消费条件、创新消费场景、培育消费新增长点上下功夫、见成效,着力补短板、强弱项,全面促流通扩消费，</w:t>
      </w:r>
      <w:r>
        <w:rPr>
          <w:rFonts w:hint="eastAsia" w:ascii="仿宋" w:hAnsi="仿宋" w:cs="仿宋"/>
          <w:color w:val="auto"/>
          <w:szCs w:val="28"/>
          <w:highlight w:val="none"/>
        </w:rPr>
        <w:t>顺应消费升级趋势，持续高质量办好文旅惠民畅游南芬系列活动。引进城区大型百货店、综合超市、购物中心、批发市场等商业网点，积极发展连锁经营和配送服务，大力发展便利店、中小超市、社区（村）菜店等社区商业。建设完善城乡连销商业网络，促进连锁化、网络化、集团化发展。加快商贸服务、金融服务、生产服务行业布局，推动健康养老、文体休闲等生活性服务业发展。鼓励发展夜间经济、假日经济、冰雪经济，积极培育消费新业态新模式新场景。加快线上、线下商品消费融合发展，引进和壮大电商直播基地，发展跨境电商。2025年，社会消费品零售总额达到4.63亿元，年均增长26.1%。</w:t>
      </w:r>
    </w:p>
    <w:p w14:paraId="2855813A">
      <w:pPr>
        <w:pStyle w:val="6"/>
        <w:ind w:firstLine="560"/>
        <w:rPr>
          <w:rFonts w:ascii="仿宋" w:hAnsi="仿宋" w:cs="仿宋"/>
          <w:color w:val="auto"/>
          <w:szCs w:val="28"/>
          <w:highlight w:val="none"/>
        </w:rPr>
      </w:pPr>
    </w:p>
    <w:p w14:paraId="335DF53A">
      <w:pPr>
        <w:spacing w:line="240" w:lineRule="auto"/>
        <w:ind w:firstLine="0" w:firstLineChars="0"/>
        <w:rPr>
          <w:b/>
          <w:bCs/>
          <w:color w:val="auto"/>
          <w:kern w:val="44"/>
          <w:sz w:val="32"/>
          <w:szCs w:val="44"/>
          <w:highlight w:val="none"/>
        </w:rPr>
      </w:pPr>
      <w:r>
        <w:rPr>
          <w:color w:val="auto"/>
          <w:highlight w:val="none"/>
        </w:rPr>
        <w:br w:type="page"/>
      </w:r>
    </w:p>
    <w:p w14:paraId="3E73EA19">
      <w:pPr>
        <w:pStyle w:val="3"/>
        <w:ind w:firstLine="643"/>
        <w:rPr>
          <w:color w:val="auto"/>
          <w:highlight w:val="none"/>
        </w:rPr>
      </w:pPr>
      <w:bookmarkStart w:id="14" w:name="_Toc143701960"/>
      <w:r>
        <w:rPr>
          <w:color w:val="auto"/>
          <w:highlight w:val="none"/>
        </w:rPr>
        <w:t>第</w:t>
      </w:r>
      <w:r>
        <w:rPr>
          <w:rFonts w:hint="eastAsia"/>
          <w:color w:val="auto"/>
          <w:highlight w:val="none"/>
        </w:rPr>
        <w:t>四</w:t>
      </w:r>
      <w:r>
        <w:rPr>
          <w:color w:val="auto"/>
          <w:highlight w:val="none"/>
        </w:rPr>
        <w:t>章</w:t>
      </w:r>
      <w:r>
        <w:rPr>
          <w:rFonts w:hint="eastAsia"/>
          <w:color w:val="auto"/>
          <w:highlight w:val="none"/>
        </w:rPr>
        <w:t xml:space="preserve"> 工业强区篇</w:t>
      </w:r>
      <w:bookmarkEnd w:id="14"/>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45CCE4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7E1D98D8">
            <w:pPr>
              <w:pStyle w:val="8"/>
              <w:ind w:firstLine="480"/>
              <w:rPr>
                <w:color w:val="auto"/>
                <w:sz w:val="24"/>
                <w:highlight w:val="none"/>
              </w:rPr>
            </w:pPr>
            <w:r>
              <w:rPr>
                <w:color w:val="auto"/>
                <w:sz w:val="24"/>
                <w:highlight w:val="none"/>
              </w:rPr>
              <w:t>政策依据</w:t>
            </w:r>
            <w:r>
              <w:rPr>
                <w:rFonts w:hint="eastAsia"/>
                <w:color w:val="auto"/>
                <w:sz w:val="24"/>
                <w:highlight w:val="none"/>
              </w:rPr>
              <w:t>：</w:t>
            </w:r>
            <w:r>
              <w:rPr>
                <w:rFonts w:hint="eastAsia"/>
                <w:color w:val="auto"/>
                <w:sz w:val="24"/>
                <w:highlight w:val="none"/>
                <w:lang w:eastAsia="zh-CN"/>
              </w:rPr>
              <w:t>《中共中央国务院关于全面振兴东北地区等老工业基地的若干意见》</w:t>
            </w:r>
            <w:r>
              <w:rPr>
                <w:rFonts w:hint="eastAsia"/>
                <w:color w:val="auto"/>
                <w:sz w:val="24"/>
                <w:highlight w:val="none"/>
              </w:rPr>
              <w:t>、《工业和信息化部办公厅关于推动工业互联网加快发展的通知》、辽宁省《关于发展工业八大门类产业发展政策》</w:t>
            </w:r>
          </w:p>
        </w:tc>
      </w:tr>
      <w:tr w14:paraId="1334C40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4E4F967">
            <w:pPr>
              <w:pStyle w:val="8"/>
              <w:ind w:firstLine="480"/>
              <w:rPr>
                <w:color w:val="auto"/>
                <w:sz w:val="24"/>
                <w:highlight w:val="none"/>
              </w:rPr>
            </w:pPr>
            <w:r>
              <w:rPr>
                <w:color w:val="auto"/>
                <w:sz w:val="24"/>
                <w:highlight w:val="none"/>
              </w:rPr>
              <w:t>规划主题</w:t>
            </w:r>
            <w:r>
              <w:rPr>
                <w:rFonts w:hint="eastAsia"/>
                <w:color w:val="auto"/>
                <w:sz w:val="24"/>
                <w:highlight w:val="none"/>
              </w:rPr>
              <w:t>：发动工业引擎，垒土成台铸造南芬脊梁</w:t>
            </w:r>
          </w:p>
        </w:tc>
      </w:tr>
      <w:tr w14:paraId="209F6C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76D43869">
            <w:pPr>
              <w:pStyle w:val="8"/>
              <w:ind w:firstLine="480"/>
              <w:rPr>
                <w:color w:val="auto"/>
                <w:sz w:val="24"/>
                <w:highlight w:val="none"/>
              </w:rPr>
            </w:pPr>
            <w:r>
              <w:rPr>
                <w:color w:val="auto"/>
                <w:sz w:val="24"/>
                <w:highlight w:val="none"/>
              </w:rPr>
              <w:t>规划领域</w:t>
            </w:r>
            <w:r>
              <w:rPr>
                <w:rFonts w:hint="eastAsia"/>
                <w:color w:val="auto"/>
                <w:sz w:val="24"/>
                <w:highlight w:val="none"/>
              </w:rPr>
              <w:t>：工业领域</w:t>
            </w:r>
          </w:p>
        </w:tc>
      </w:tr>
      <w:tr w14:paraId="622A110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588A608">
            <w:pPr>
              <w:pStyle w:val="8"/>
              <w:ind w:firstLine="480"/>
              <w:rPr>
                <w:color w:val="auto"/>
                <w:sz w:val="24"/>
                <w:highlight w:val="none"/>
              </w:rPr>
            </w:pPr>
            <w:r>
              <w:rPr>
                <w:color w:val="auto"/>
                <w:sz w:val="24"/>
                <w:highlight w:val="none"/>
              </w:rPr>
              <w:t>规划重点</w:t>
            </w:r>
            <w:r>
              <w:rPr>
                <w:rFonts w:hint="eastAsia"/>
                <w:color w:val="auto"/>
                <w:sz w:val="24"/>
                <w:highlight w:val="none"/>
              </w:rPr>
              <w:t>：工业布局、产业方向、创新驱动、新动能</w:t>
            </w:r>
          </w:p>
        </w:tc>
      </w:tr>
    </w:tbl>
    <w:p w14:paraId="52422016">
      <w:pPr>
        <w:ind w:firstLine="560"/>
        <w:rPr>
          <w:color w:val="auto"/>
          <w:highlight w:val="none"/>
        </w:rPr>
      </w:pPr>
      <w:r>
        <w:rPr>
          <w:rFonts w:hint="eastAsia"/>
          <w:color w:val="auto"/>
          <w:highlight w:val="none"/>
        </w:rPr>
        <w:t>在十四五期间，紧密围绕“五大新发展理念”，深入贯彻学习习近平总书记系列重要讲话精神及在东北老工业基地考察时重要讲话精神，围绕国内国际经济双循环，尤其在优势产业方面与国内循环紧密结合，积极融入国家新材料、高端装备、绿色环保等新兴产业发展布局，加大力度与京津冀等先进地区产业配套和合作，按照“产业集聚、区域集中、开发集约”标准，优化“</w:t>
      </w:r>
      <w:r>
        <w:rPr>
          <w:rFonts w:hint="eastAsia"/>
          <w:b/>
          <w:color w:val="auto"/>
          <w:highlight w:val="none"/>
        </w:rPr>
        <w:t>一区、三基地</w:t>
      </w:r>
      <w:r>
        <w:rPr>
          <w:rFonts w:hint="eastAsia"/>
          <w:color w:val="auto"/>
          <w:highlight w:val="none"/>
        </w:rPr>
        <w:t>”产业布局，明确南芬经济开发区产业新方向，围绕“人参铁”产业基地、新材料产业基地和大宗固废综合再利用产业基地，通过产业优化升级，整合“人参铁”产业资源优势，进一步激活“铁”经济，巩固工业底盘，将南芬区建设成为一个充满朝气的工业示范的智造南芬。</w:t>
      </w:r>
    </w:p>
    <w:p w14:paraId="60778FBA">
      <w:pPr>
        <w:pStyle w:val="4"/>
        <w:ind w:firstLine="643"/>
        <w:rPr>
          <w:color w:val="auto"/>
          <w:highlight w:val="none"/>
        </w:rPr>
      </w:pPr>
      <w:bookmarkStart w:id="15" w:name="_Toc143701961"/>
      <w:r>
        <w:rPr>
          <w:color w:val="auto"/>
          <w:highlight w:val="none"/>
        </w:rPr>
        <w:t>第一节</w:t>
      </w:r>
      <w:r>
        <w:rPr>
          <w:rFonts w:hint="eastAsia"/>
          <w:color w:val="auto"/>
          <w:highlight w:val="none"/>
        </w:rPr>
        <w:t xml:space="preserve"> 优化“一区、三基地”产业发展布局</w:t>
      </w:r>
      <w:bookmarkEnd w:id="15"/>
    </w:p>
    <w:p w14:paraId="09FD3E23">
      <w:pPr>
        <w:ind w:firstLine="560"/>
        <w:rPr>
          <w:color w:val="auto"/>
          <w:highlight w:val="none"/>
        </w:rPr>
      </w:pPr>
      <w:r>
        <w:rPr>
          <w:rFonts w:hint="eastAsia"/>
          <w:color w:val="auto"/>
          <w:highlight w:val="none"/>
        </w:rPr>
        <w:t>着力优化“</w:t>
      </w:r>
      <w:r>
        <w:rPr>
          <w:rFonts w:hint="eastAsia"/>
          <w:b/>
          <w:color w:val="auto"/>
          <w:highlight w:val="none"/>
        </w:rPr>
        <w:t>一区、三基地</w:t>
      </w:r>
      <w:r>
        <w:rPr>
          <w:rFonts w:hint="eastAsia"/>
          <w:color w:val="auto"/>
          <w:highlight w:val="none"/>
        </w:rPr>
        <w:t>”产业布局，以南芬经济开发区为工业发展“主轴”，形成全域工业组团；打造以铁精粉、高端铸造生铁、球墨铸件、装备制造等为主要产品的优质“人参铁”产业基地；以特色金属（一黑一白2组体系徐家铁矿</w:t>
      </w:r>
      <w:r>
        <w:rPr>
          <w:color w:val="auto"/>
          <w:highlight w:val="none"/>
        </w:rPr>
        <w:t>）</w:t>
      </w:r>
      <w:r>
        <w:rPr>
          <w:rFonts w:hint="eastAsia"/>
          <w:color w:val="auto"/>
          <w:highlight w:val="none"/>
        </w:rPr>
        <w:t>、硅石、方解石、石灰石深加工等为主要产品的新材料产业基地；以砂石骨料、</w:t>
      </w:r>
      <w:r>
        <w:rPr>
          <w:rFonts w:eastAsia="仿宋_GB2312"/>
          <w:color w:val="auto"/>
          <w:szCs w:val="28"/>
          <w:highlight w:val="none"/>
        </w:rPr>
        <w:t>干混砂浆等砂源替代材料</w:t>
      </w:r>
      <w:r>
        <w:rPr>
          <w:rFonts w:hint="eastAsia"/>
          <w:color w:val="auto"/>
          <w:highlight w:val="none"/>
        </w:rPr>
        <w:t>、建筑砌块等为主要产品，建立大宗固废综合再利用产业基地，推动全区特色优势产业高质量发展。以科技创新政策为保障，以引进优质投资项目为抓手，促进产业链、技术链、信息链向两端延伸，推动产业科技创新，打造南芬发展新动能，全面促进南芬主导产业健康发展。</w:t>
      </w:r>
    </w:p>
    <w:p w14:paraId="6B93B327">
      <w:pPr>
        <w:ind w:firstLine="560"/>
        <w:rPr>
          <w:color w:val="auto"/>
          <w:highlight w:val="none"/>
        </w:rPr>
      </w:pPr>
      <w:r>
        <w:rPr>
          <w:rFonts w:hint="eastAsia"/>
          <w:color w:val="auto"/>
          <w:highlight w:val="none"/>
        </w:rPr>
        <w:t>1.“一区”——南芬经济开发区</w:t>
      </w:r>
    </w:p>
    <w:p w14:paraId="5B05590D">
      <w:pPr>
        <w:ind w:firstLine="560"/>
        <w:rPr>
          <w:color w:val="auto"/>
          <w:highlight w:val="none"/>
        </w:rPr>
      </w:pPr>
      <w:r>
        <w:rPr>
          <w:rFonts w:hint="eastAsia"/>
          <w:color w:val="auto"/>
          <w:highlight w:val="none"/>
        </w:rPr>
        <w:t>南芬经济开发区为省级经济开发区，全面融入本溪“绿色钢都”战略规划，紧紧围绕三大主导产业，以“人参铁”铸造业、新材料、大宗固废综合再利用产业为引领，以人参铁产业基地、新材料产业基地、大宗固废综合再利用产业基地为支撑，充分发挥资源、区位和政策优势，从基础配套、政策扶持、人才支撑等方面充分发力，做大做强支柱产业。重点打造人参铁产业园、开发区新材料产业园（程家村和金坑村）、开发区大宗固废综合再利用产业园（永安村和爱国村），争取建设完成龙新矿业绿色矿山小镇和下马塘铸造小镇，争取获得“人参铁”地理标识。</w:t>
      </w:r>
    </w:p>
    <w:p w14:paraId="69992036">
      <w:pPr>
        <w:ind w:firstLine="560"/>
        <w:rPr>
          <w:color w:val="auto"/>
          <w:highlight w:val="none"/>
        </w:rPr>
      </w:pPr>
      <w:r>
        <w:rPr>
          <w:rFonts w:hint="eastAsia"/>
          <w:bCs/>
          <w:color w:val="auto"/>
          <w:highlight w:val="none"/>
        </w:rPr>
        <w:t>要高位推进开发区发展，强化以产业园区为龙头的载体支撑，发挥促进承接项目、集聚产业的重要承载平台作用，持续巩固经济建设主战场地位。加快推进特色产业园区建设，积极申报评定省级特色产业园区。在省级经济开发区排名位于中游水平，创建循环经济创新发展示范区。</w:t>
      </w:r>
    </w:p>
    <w:p w14:paraId="1C4D18BF">
      <w:pPr>
        <w:ind w:firstLine="0" w:firstLineChars="0"/>
        <w:rPr>
          <w:color w:val="auto"/>
          <w:highlight w:val="none"/>
        </w:rPr>
      </w:pPr>
      <w:r>
        <w:rPr>
          <w:color w:val="auto"/>
          <w:highlight w:val="none"/>
        </w:rPr>
        <w:drawing>
          <wp:inline distT="0" distB="0" distL="0" distR="0">
            <wp:extent cx="5274310" cy="6232525"/>
            <wp:effectExtent l="0" t="0" r="2540" b="15875"/>
            <wp:docPr id="3" name="图片 3" descr="E:\2.高校科研文件\3.县域经济总课题\南芬区十四五规划\南芬区地图\南芬区工业产业空间布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高校科研文件\3.县域经济总课题\南芬区十四五规划\南芬区地图\南芬区工业产业空间布局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6233084"/>
                    </a:xfrm>
                    <a:prstGeom prst="rect">
                      <a:avLst/>
                    </a:prstGeom>
                    <a:noFill/>
                    <a:ln>
                      <a:noFill/>
                    </a:ln>
                  </pic:spPr>
                </pic:pic>
              </a:graphicData>
            </a:graphic>
          </wp:inline>
        </w:drawing>
      </w:r>
    </w:p>
    <w:p w14:paraId="149E2E91">
      <w:pPr>
        <w:ind w:firstLine="560"/>
        <w:rPr>
          <w:color w:val="auto"/>
          <w:highlight w:val="none"/>
        </w:rPr>
      </w:pPr>
      <w:r>
        <w:rPr>
          <w:rFonts w:hint="eastAsia" w:ascii="仿宋" w:hAnsi="仿宋" w:cs="仿宋"/>
          <w:color w:val="auto"/>
          <w:szCs w:val="28"/>
          <w:highlight w:val="none"/>
        </w:rPr>
        <w:t>聚焦协调保障，进一步明确定位、科学规划，加强基础设施建设，完善管理体系、运行模式和考评激励机制。聚焦支撑动能，既要存量培优，充分发挥现有企业和项目的基础和潜能，与高等院校联合建立“产、学、研”相结合的铸件新材料创新创业基地；又要增量引入，积极引进、聚集一批大企业、好项目，在总量扩大中优化结构，在优化结构中扩大总量。</w:t>
      </w:r>
      <w:r>
        <w:rPr>
          <w:rFonts w:hint="eastAsia"/>
          <w:bCs/>
          <w:color w:val="auto"/>
          <w:highlight w:val="none"/>
        </w:rPr>
        <w:t>聚焦质量效益，推动经济开发区规上工业产值、工业投资占全区的比重逐步提高，打造产值超</w:t>
      </w:r>
      <w:r>
        <w:rPr>
          <w:bCs/>
          <w:color w:val="auto"/>
          <w:highlight w:val="none"/>
        </w:rPr>
        <w:t>50亿元经济开发区。</w:t>
      </w:r>
      <w:r>
        <w:rPr>
          <w:rFonts w:hint="eastAsia"/>
          <w:color w:val="auto"/>
          <w:highlight w:val="none"/>
        </w:rPr>
        <w:t>到</w:t>
      </w:r>
      <w:r>
        <w:rPr>
          <w:color w:val="auto"/>
          <w:highlight w:val="none"/>
        </w:rPr>
        <w:t>2025年，累计新增落地亿元以上项目达到7个，经济开发区内高新技术企业数量占比达到全省平均水平。</w:t>
      </w:r>
    </w:p>
    <w:p w14:paraId="547AB3F3">
      <w:pPr>
        <w:ind w:firstLine="560"/>
        <w:rPr>
          <w:color w:val="auto"/>
          <w:highlight w:val="none"/>
        </w:rPr>
      </w:pPr>
      <w:r>
        <w:rPr>
          <w:rFonts w:hint="eastAsia"/>
          <w:color w:val="auto"/>
          <w:highlight w:val="none"/>
        </w:rPr>
        <w:t>2.“三基地”</w:t>
      </w:r>
    </w:p>
    <w:p w14:paraId="5950A114">
      <w:pPr>
        <w:pStyle w:val="37"/>
        <w:ind w:firstLine="560"/>
        <w:rPr>
          <w:color w:val="auto"/>
          <w:highlight w:val="none"/>
        </w:rPr>
      </w:pPr>
      <w:r>
        <w:rPr>
          <w:rFonts w:hint="eastAsia"/>
          <w:color w:val="auto"/>
          <w:highlight w:val="none"/>
        </w:rPr>
        <w:t>（1）人参铁产业基地</w:t>
      </w:r>
    </w:p>
    <w:p w14:paraId="7887A7B8">
      <w:pPr>
        <w:pStyle w:val="37"/>
        <w:ind w:firstLine="562"/>
        <w:rPr>
          <w:color w:val="auto"/>
          <w:highlight w:val="none"/>
        </w:rPr>
      </w:pPr>
      <w:r>
        <w:rPr>
          <w:rFonts w:hint="eastAsia"/>
          <w:b/>
          <w:bCs/>
          <w:color w:val="auto"/>
          <w:highlight w:val="none"/>
        </w:rPr>
        <w:t>产业定位：</w:t>
      </w:r>
      <w:r>
        <w:rPr>
          <w:rFonts w:hint="eastAsia"/>
          <w:color w:val="auto"/>
          <w:highlight w:val="none"/>
        </w:rPr>
        <w:t>充分开发利用南芬区人参铁独特的资源优势，深度融入经济内循环的国家战略，</w:t>
      </w:r>
      <w:r>
        <w:rPr>
          <w:rFonts w:hint="eastAsia" w:eastAsia="仿宋_GB2312"/>
          <w:color w:val="auto"/>
          <w:szCs w:val="28"/>
          <w:highlight w:val="none"/>
        </w:rPr>
        <w:t>积极</w:t>
      </w:r>
      <w:r>
        <w:rPr>
          <w:rFonts w:eastAsia="仿宋_GB2312"/>
          <w:color w:val="auto"/>
          <w:szCs w:val="28"/>
          <w:highlight w:val="none"/>
        </w:rPr>
        <w:t>落实国家“基石计划”，</w:t>
      </w:r>
      <w:r>
        <w:rPr>
          <w:rFonts w:hint="eastAsia"/>
          <w:color w:val="auto"/>
          <w:highlight w:val="none"/>
        </w:rPr>
        <w:t>在保障我国铁矿石战略资源安全方面，发挥重要作用，成为国家级铁矿石原材料基地。</w:t>
      </w:r>
      <w:r>
        <w:rPr>
          <w:rFonts w:hint="eastAsia" w:ascii="仿宋" w:hAnsi="仿宋" w:cs="仿宋"/>
          <w:color w:val="auto"/>
          <w:szCs w:val="28"/>
          <w:highlight w:val="none"/>
        </w:rPr>
        <w:t>推动铁精粉生产企业投产达效、扩大产能，完善下游产业链条，铸强支柱产业链韧性和安全水平。</w:t>
      </w:r>
      <w:r>
        <w:rPr>
          <w:rFonts w:hint="eastAsia"/>
          <w:color w:val="auto"/>
          <w:highlight w:val="none"/>
        </w:rPr>
        <w:t>重点开发人参铁的高端应用，生产高纯生铁、非高炉冶炼合金等国家战略应用材料，替代进口，填补空白。</w:t>
      </w:r>
      <w:r>
        <w:rPr>
          <w:rFonts w:hint="eastAsia" w:ascii="仿宋" w:hAnsi="仿宋" w:cs="仿宋"/>
          <w:color w:val="auto"/>
          <w:szCs w:val="28"/>
          <w:highlight w:val="none"/>
        </w:rPr>
        <w:t>推动思山岭铁矿、徐家堡铁矿、云新矿业、聚鑫达矿业等重点铁矿企业集群式发展，增强铁矿等战略性矿产资源储备能力。逐步延伸产业链，重点支持产业下游的众达轧辊、顺安消防管件快速发展，全力引进装备铸造企业进驻，力争2025年实现南芬经济开发区铁水全部属地消化。引导企业技术改造和科技创新，实现能耗、污染物排放“双降低”，生产效率、经济效益“双提升”，打造钢铁头部企业。</w:t>
      </w:r>
      <w:r>
        <w:rPr>
          <w:rFonts w:hint="eastAsia"/>
          <w:color w:val="auto"/>
          <w:highlight w:val="none"/>
        </w:rPr>
        <w:t>发展汽车、风电、机床等普通铸件产业，与沈阳经济区和京津冀地区形成紧密的产业合作，力争建设成为国家级产业集聚地。</w:t>
      </w:r>
    </w:p>
    <w:p w14:paraId="3F1DA60C">
      <w:pPr>
        <w:ind w:firstLine="562"/>
        <w:rPr>
          <w:color w:val="auto"/>
          <w:highlight w:val="none"/>
        </w:rPr>
      </w:pPr>
      <w:r>
        <w:rPr>
          <w:rFonts w:hint="eastAsia"/>
          <w:b/>
          <w:bCs/>
          <w:color w:val="auto"/>
          <w:highlight w:val="none"/>
        </w:rPr>
        <w:t>产业目标：</w:t>
      </w:r>
      <w:r>
        <w:rPr>
          <w:color w:val="auto"/>
          <w:highlight w:val="none"/>
        </w:rPr>
        <w:t xml:space="preserve"> 2025年，铁矿石、铁精粉年产量分别突破1300万吨、430万吨，钢铁产业链产值突破60亿元。</w:t>
      </w:r>
    </w:p>
    <w:p w14:paraId="1C41EF51">
      <w:pPr>
        <w:ind w:firstLine="562"/>
        <w:rPr>
          <w:color w:val="auto"/>
          <w:highlight w:val="none"/>
        </w:rPr>
      </w:pPr>
      <w:r>
        <w:rPr>
          <w:rFonts w:hint="eastAsia"/>
          <w:b/>
          <w:bCs/>
          <w:color w:val="auto"/>
          <w:highlight w:val="none"/>
        </w:rPr>
        <w:t>区位布局：</w:t>
      </w:r>
      <w:r>
        <w:rPr>
          <w:rFonts w:hint="eastAsia"/>
          <w:color w:val="auto"/>
          <w:highlight w:val="none"/>
        </w:rPr>
        <w:t>下马塘街道西南，面积约为300万平方米；思山岭金坑村，面积约为25万平方米。</w:t>
      </w:r>
    </w:p>
    <w:p w14:paraId="53B7E424">
      <w:pPr>
        <w:pStyle w:val="37"/>
        <w:ind w:firstLine="562"/>
        <w:rPr>
          <w:color w:val="auto"/>
          <w:highlight w:val="none"/>
        </w:rPr>
      </w:pPr>
      <w:r>
        <w:rPr>
          <w:rFonts w:hint="eastAsia"/>
          <w:b/>
          <w:bCs/>
          <w:color w:val="auto"/>
          <w:highlight w:val="none"/>
        </w:rPr>
        <w:t>项目支撑：</w:t>
      </w:r>
      <w:r>
        <w:rPr>
          <w:rFonts w:hint="eastAsia"/>
          <w:color w:val="auto"/>
          <w:highlight w:val="none"/>
        </w:rPr>
        <w:t>围绕龙新矿业绿色智慧矿山全产业链项目、云新矿业地下开采等项目的实施，全力打造绿色智慧矿山建设。鼓励龙新、聚鑫达、宏大、顺安等企业引用和发展新技术生产合金材料，积极推进中泰、荣大、星辉、富新源铁选等企业的改造升级，提高产品附加值，实现铸造产业集群发展。</w:t>
      </w:r>
    </w:p>
    <w:p w14:paraId="5000E21F">
      <w:pPr>
        <w:pStyle w:val="37"/>
        <w:ind w:firstLine="560"/>
        <w:rPr>
          <w:color w:val="auto"/>
          <w:highlight w:val="none"/>
        </w:rPr>
      </w:pPr>
      <w:r>
        <w:rPr>
          <w:rFonts w:hint="eastAsia"/>
          <w:color w:val="auto"/>
          <w:highlight w:val="none"/>
        </w:rPr>
        <w:t>（2）新材料产业基地</w:t>
      </w:r>
    </w:p>
    <w:p w14:paraId="261B812E">
      <w:pPr>
        <w:pStyle w:val="37"/>
        <w:ind w:firstLine="562"/>
        <w:rPr>
          <w:color w:val="auto"/>
          <w:highlight w:val="none"/>
        </w:rPr>
      </w:pPr>
      <w:r>
        <w:rPr>
          <w:rFonts w:hint="eastAsia"/>
          <w:b/>
          <w:bCs/>
          <w:color w:val="auto"/>
          <w:highlight w:val="none"/>
        </w:rPr>
        <w:t>产业定位：</w:t>
      </w:r>
      <w:r>
        <w:rPr>
          <w:rFonts w:hint="eastAsia" w:ascii="仿宋" w:hAnsi="仿宋" w:cs="仿宋"/>
          <w:color w:val="auto"/>
          <w:szCs w:val="28"/>
          <w:highlight w:val="none"/>
        </w:rPr>
        <w:t>打造新材料产业基地。</w:t>
      </w:r>
      <w:r>
        <w:rPr>
          <w:rFonts w:hint="eastAsia"/>
          <w:color w:val="auto"/>
          <w:highlight w:val="none"/>
        </w:rPr>
        <w:t>充分开发我区硅石、方解石、石灰石等非金属矿产资源的强大优势，力争成为东北地区、京津冀地区重要的非金属原材料基地。</w:t>
      </w:r>
      <w:r>
        <w:rPr>
          <w:rFonts w:hint="eastAsia" w:ascii="仿宋" w:hAnsi="仿宋" w:cs="仿宋"/>
          <w:color w:val="auto"/>
          <w:szCs w:val="28"/>
          <w:highlight w:val="none"/>
        </w:rPr>
        <w:t>支持工业硅生产企业向新材料、新能源领域发展，鼓励硅石（碳酸钙）生产企业向高附加值的深加工领域发展，努力建成集科研、开发、生产、应用于一体的新材料产业集群。推进东方硅基、星光硅质、东诚硅石等上游企业平稳运行、协同发展，夯实硅石资源基础。整合全域方解石资源，集团式开发利用，充分发挥储量1.2亿吨的方解石资源优势，形成新的产业链条。积极引导企业加大研发投入，引进高端技术团队，支持企业向产业链下游延伸，发展光伏玻璃、半导体器件生产原料、高端建材添加剂、新型建筑材料等新兴产业，全力释放新材料链式效应。</w:t>
      </w:r>
      <w:r>
        <w:rPr>
          <w:rFonts w:hint="eastAsia"/>
          <w:color w:val="auto"/>
          <w:highlight w:val="none"/>
        </w:rPr>
        <w:t>力争在“十四五”期末，打造成省级重要的新材料产业基地。</w:t>
      </w:r>
    </w:p>
    <w:p w14:paraId="4E36F58C">
      <w:pPr>
        <w:ind w:firstLine="562"/>
        <w:rPr>
          <w:color w:val="auto"/>
          <w:highlight w:val="none"/>
        </w:rPr>
      </w:pPr>
      <w:r>
        <w:rPr>
          <w:rFonts w:hint="eastAsia"/>
          <w:b/>
          <w:bCs/>
          <w:color w:val="auto"/>
          <w:highlight w:val="none"/>
        </w:rPr>
        <w:t>产业目标：</w:t>
      </w:r>
      <w:r>
        <w:rPr>
          <w:color w:val="auto"/>
          <w:highlight w:val="none"/>
        </w:rPr>
        <w:t>2025年，硅石、方解石年产量分别突破800万吨、40万吨，新材料产业链产值突破35亿元。</w:t>
      </w:r>
    </w:p>
    <w:p w14:paraId="6D2C8A7A">
      <w:pPr>
        <w:ind w:firstLine="562"/>
        <w:rPr>
          <w:color w:val="auto"/>
          <w:highlight w:val="none"/>
        </w:rPr>
      </w:pPr>
      <w:r>
        <w:rPr>
          <w:rFonts w:hint="eastAsia"/>
          <w:b/>
          <w:bCs/>
          <w:color w:val="auto"/>
          <w:highlight w:val="none"/>
        </w:rPr>
        <w:t>区位布局：</w:t>
      </w:r>
      <w:r>
        <w:rPr>
          <w:rFonts w:hint="eastAsia"/>
          <w:color w:val="auto"/>
          <w:highlight w:val="none"/>
        </w:rPr>
        <w:t>园区分为2个子园区，其中最大的一个园区在下马塘街道，主要为方解石类企业，总面积约为85万平方米左右（太平村西侧48万平方米，主业精加工，程家村东南侧18万平方米，主业物流，施家村东侧18平方米，主业开采）；第二个在金坑村南侧，主要为硅石类企业，面积约为66.5万平方米。</w:t>
      </w:r>
    </w:p>
    <w:p w14:paraId="06315CD8">
      <w:pPr>
        <w:pStyle w:val="37"/>
        <w:ind w:firstLine="562"/>
        <w:rPr>
          <w:color w:val="auto"/>
          <w:highlight w:val="none"/>
        </w:rPr>
      </w:pPr>
      <w:r>
        <w:rPr>
          <w:rFonts w:hint="eastAsia"/>
          <w:b/>
          <w:bCs/>
          <w:color w:val="auto"/>
          <w:highlight w:val="none"/>
        </w:rPr>
        <w:t>项目支撑：</w:t>
      </w:r>
      <w:r>
        <w:rPr>
          <w:rFonts w:hint="eastAsia"/>
          <w:color w:val="auto"/>
          <w:highlight w:val="none"/>
        </w:rPr>
        <w:t>围绕东方硅基沈家、夹砬子硅石矿等3家企业探矿权的取得，积极争取探转采，尽早实现采矿增产。积极推进下马塘方解石和石灰石建矿，助力昌泰石材等企业产业链的延伸。围绕星光硅质的高纯石英砂、超薄光伏玻璃、东方硅基石英砂项目的投入生产，提升新材料产业的产品附加值。</w:t>
      </w:r>
    </w:p>
    <w:p w14:paraId="41A036EB">
      <w:pPr>
        <w:pStyle w:val="37"/>
        <w:ind w:firstLine="560"/>
        <w:rPr>
          <w:color w:val="auto"/>
          <w:highlight w:val="none"/>
        </w:rPr>
      </w:pPr>
      <w:r>
        <w:rPr>
          <w:rFonts w:hint="eastAsia"/>
          <w:color w:val="auto"/>
          <w:highlight w:val="none"/>
        </w:rPr>
        <w:t>（3）大宗固废综合再利用产业基地</w:t>
      </w:r>
    </w:p>
    <w:p w14:paraId="416E45BF">
      <w:pPr>
        <w:pStyle w:val="37"/>
        <w:ind w:firstLine="562"/>
        <w:rPr>
          <w:color w:val="auto"/>
          <w:highlight w:val="none"/>
        </w:rPr>
      </w:pPr>
      <w:r>
        <w:rPr>
          <w:rFonts w:hint="eastAsia"/>
          <w:b/>
          <w:bCs/>
          <w:color w:val="auto"/>
          <w:highlight w:val="none"/>
        </w:rPr>
        <w:t>产业定位：</w:t>
      </w:r>
      <w:r>
        <w:rPr>
          <w:rFonts w:hint="eastAsia"/>
          <w:color w:val="auto"/>
          <w:highlight w:val="none"/>
        </w:rPr>
        <w:t>充分利用“两山”理论带来政策机遇，</w:t>
      </w:r>
      <w:r>
        <w:rPr>
          <w:rFonts w:eastAsia="仿宋_GB2312"/>
          <w:color w:val="auto"/>
          <w:szCs w:val="28"/>
          <w:highlight w:val="none"/>
        </w:rPr>
        <w:t>围绕本钢南芬露天矿、同顺源矿业、中泰矿业、东方沈家等企业产生的大宗固体废弃物，推进稀有元素高效提取及整体利用，重点发展磷、钛、钪提取，推动采矿废石制备砂石骨料、陶粒、干混砂浆等砂源替代材料，促进大宗固废实现绿色、高效、规模化利用</w:t>
      </w:r>
      <w:r>
        <w:rPr>
          <w:rFonts w:hint="eastAsia" w:eastAsia="仿宋_GB2312"/>
          <w:color w:val="auto"/>
          <w:szCs w:val="28"/>
          <w:highlight w:val="none"/>
        </w:rPr>
        <w:t>。</w:t>
      </w:r>
      <w:r>
        <w:rPr>
          <w:rFonts w:hint="eastAsia"/>
          <w:color w:val="auto"/>
          <w:highlight w:val="none"/>
        </w:rPr>
        <w:t>力争成为大宗固废处理典范，东北地区固废建材的生产基地。在循环经济方面取得突破，成为市级固废利用特色产业基地。</w:t>
      </w:r>
    </w:p>
    <w:p w14:paraId="45415F12">
      <w:pPr>
        <w:ind w:firstLine="562"/>
        <w:rPr>
          <w:color w:val="auto"/>
          <w:highlight w:val="none"/>
        </w:rPr>
      </w:pPr>
      <w:r>
        <w:rPr>
          <w:rFonts w:hint="eastAsia"/>
          <w:b/>
          <w:bCs/>
          <w:color w:val="auto"/>
          <w:highlight w:val="none"/>
        </w:rPr>
        <w:t>产业目标：</w:t>
      </w:r>
      <w:r>
        <w:rPr>
          <w:rFonts w:hint="eastAsia"/>
          <w:color w:val="auto"/>
          <w:highlight w:val="none"/>
        </w:rPr>
        <w:t>鼓励现有大型采矿企业探索利用固废资源建立固废利用车间，对非矿山固废资源进行回收再利用。</w:t>
      </w:r>
      <w:r>
        <w:rPr>
          <w:color w:val="auto"/>
          <w:highlight w:val="none"/>
        </w:rPr>
        <w:t>2025年，固废综合利用量增至200万吨。</w:t>
      </w:r>
    </w:p>
    <w:p w14:paraId="63EAFE21">
      <w:pPr>
        <w:ind w:firstLine="562"/>
        <w:rPr>
          <w:color w:val="auto"/>
          <w:highlight w:val="none"/>
        </w:rPr>
      </w:pPr>
      <w:r>
        <w:rPr>
          <w:rFonts w:hint="eastAsia"/>
          <w:b/>
          <w:bCs/>
          <w:color w:val="auto"/>
          <w:highlight w:val="none"/>
        </w:rPr>
        <w:t>区位布局：</w:t>
      </w:r>
      <w:r>
        <w:rPr>
          <w:rFonts w:hint="eastAsia"/>
          <w:color w:val="auto"/>
          <w:highlight w:val="none"/>
        </w:rPr>
        <w:t>根据行业特点，在分散化的大型矿山企业附近就近布局，呈现点状分布，主要分布的点包括：本钢固废再利用基地在永安村北；东方选矿厂固废再利用基地在沈家村；聚鑫达矿山固废再利用基地在程家村。中泰矿业固废再利用基地在杨木沟村。</w:t>
      </w:r>
    </w:p>
    <w:p w14:paraId="484DF8A3">
      <w:pPr>
        <w:pStyle w:val="37"/>
        <w:ind w:firstLine="562"/>
        <w:rPr>
          <w:color w:val="auto"/>
          <w:highlight w:val="none"/>
        </w:rPr>
      </w:pPr>
      <w:r>
        <w:rPr>
          <w:rFonts w:hint="eastAsia"/>
          <w:b/>
          <w:bCs/>
          <w:color w:val="auto"/>
          <w:highlight w:val="none"/>
        </w:rPr>
        <w:t>项目支撑：</w:t>
      </w:r>
      <w:r>
        <w:rPr>
          <w:rFonts w:hint="eastAsia"/>
          <w:color w:val="auto"/>
          <w:highlight w:val="none"/>
        </w:rPr>
        <w:t>重点围绕本钢南芬露天矿、同顺源矿业、中泰矿业、东方沈家等企业产生的大宗固体废弃物，生产建筑用机制砂、干混砂浆等高附加值产品。重点推进东方沈家铁选厂尾矿再选。鼓励龙新矿业探索采用固废回填矿洞方式，实现环境保护和绿色生产。</w:t>
      </w:r>
    </w:p>
    <w:p w14:paraId="119C668D">
      <w:pPr>
        <w:pStyle w:val="4"/>
        <w:ind w:firstLine="643"/>
        <w:rPr>
          <w:color w:val="auto"/>
          <w:highlight w:val="none"/>
        </w:rPr>
      </w:pPr>
      <w:bookmarkStart w:id="16" w:name="_Toc58739717"/>
      <w:bookmarkStart w:id="17" w:name="_Toc143701962"/>
      <w:r>
        <w:rPr>
          <w:rFonts w:hint="eastAsia"/>
          <w:color w:val="auto"/>
          <w:highlight w:val="none"/>
        </w:rPr>
        <w:t xml:space="preserve">第二节 </w:t>
      </w:r>
      <w:bookmarkEnd w:id="16"/>
      <w:r>
        <w:rPr>
          <w:rFonts w:hint="eastAsia"/>
          <w:color w:val="auto"/>
          <w:highlight w:val="none"/>
        </w:rPr>
        <w:t>助力重点企业 打造支柱产业增长极</w:t>
      </w:r>
      <w:bookmarkEnd w:id="17"/>
    </w:p>
    <w:p w14:paraId="67DC1867">
      <w:pPr>
        <w:pStyle w:val="37"/>
        <w:ind w:firstLine="560"/>
        <w:rPr>
          <w:color w:val="auto"/>
          <w:highlight w:val="none"/>
        </w:rPr>
      </w:pPr>
      <w:r>
        <w:rPr>
          <w:color w:val="auto"/>
          <w:highlight w:val="none"/>
        </w:rPr>
        <w:t>1.</w:t>
      </w:r>
      <w:r>
        <w:rPr>
          <w:rFonts w:hint="eastAsia"/>
          <w:color w:val="auto"/>
          <w:highlight w:val="none"/>
        </w:rPr>
        <w:t>促进采矿重点企业达产，推动采矿产业跨越式发展</w:t>
      </w:r>
    </w:p>
    <w:p w14:paraId="39A8E4C2">
      <w:pPr>
        <w:pStyle w:val="37"/>
        <w:ind w:firstLine="560"/>
        <w:rPr>
          <w:color w:val="auto"/>
          <w:highlight w:val="none"/>
        </w:rPr>
      </w:pPr>
      <w:r>
        <w:rPr>
          <w:rFonts w:hint="eastAsia"/>
          <w:color w:val="auto"/>
          <w:highlight w:val="none"/>
        </w:rPr>
        <w:t>全力做好“铁”文章，积极引导鼓励龙新矿业建成国家示范绿色深井矿山，以超大规模超深井智能化国家示范工程为引领，开展绿色矿山及其下游产业链研发，力争到2023年形成铁精粉年生产500万吨能力、实现产值45亿元以上，并进而建设球团、非高炉冶炼合金、蠕墨铸件等产业链下游高端产品，辐射带动绿色矿山小镇发展，最终形成区域性全产业链龙头企业。</w:t>
      </w:r>
    </w:p>
    <w:p w14:paraId="04D06CB9">
      <w:pPr>
        <w:pStyle w:val="37"/>
        <w:ind w:firstLine="560"/>
        <w:rPr>
          <w:color w:val="auto"/>
          <w:highlight w:val="none"/>
        </w:rPr>
      </w:pPr>
      <w:r>
        <w:rPr>
          <w:color w:val="auto"/>
          <w:highlight w:val="none"/>
        </w:rPr>
        <w:t>2.</w:t>
      </w:r>
      <w:r>
        <w:rPr>
          <w:rFonts w:hint="eastAsia"/>
          <w:color w:val="auto"/>
          <w:highlight w:val="none"/>
        </w:rPr>
        <w:t>鼓励铸造重点企业带动，促进铸件产业集群式发展</w:t>
      </w:r>
    </w:p>
    <w:p w14:paraId="4F9AC176">
      <w:pPr>
        <w:pStyle w:val="37"/>
        <w:ind w:firstLine="560"/>
        <w:rPr>
          <w:color w:val="auto"/>
          <w:highlight w:val="none"/>
        </w:rPr>
      </w:pPr>
      <w:r>
        <w:rPr>
          <w:rFonts w:hint="eastAsia"/>
          <w:color w:val="auto"/>
          <w:highlight w:val="none"/>
        </w:rPr>
        <w:t>充分发挥铸造传统产业优势，引导鼓励聚鑫达机械制造、众达轧辊等企业发挥产业核心带动作用，依托聚鑫达机械制造与上海美匡集团战略合作契机，激发释放企业产能，加快顺安消防科技产品创新升级，提升产品丰满度，</w:t>
      </w:r>
      <w:r>
        <w:rPr>
          <w:rFonts w:hint="eastAsia" w:ascii="仿宋" w:hAnsi="仿宋" w:cs="仿宋"/>
          <w:color w:val="auto"/>
          <w:szCs w:val="28"/>
          <w:highlight w:val="none"/>
        </w:rPr>
        <w:t>推动无缝变径管短流程铸造，</w:t>
      </w:r>
      <w:r>
        <w:rPr>
          <w:rFonts w:hint="eastAsia"/>
          <w:color w:val="auto"/>
          <w:highlight w:val="none"/>
        </w:rPr>
        <w:t>进一步盘活新铁铸造，推进高炉改造升级。推动产业链由初加工向精深加工发展，形成高铁、航空航天、重大装备制造等配套铸件的高精端铸造产业链条，促进铸件产业集群式发展。</w:t>
      </w:r>
    </w:p>
    <w:p w14:paraId="7477D446">
      <w:pPr>
        <w:pStyle w:val="37"/>
        <w:ind w:firstLine="560"/>
        <w:rPr>
          <w:color w:val="auto"/>
          <w:highlight w:val="none"/>
        </w:rPr>
      </w:pPr>
      <w:r>
        <w:rPr>
          <w:color w:val="auto"/>
          <w:highlight w:val="none"/>
        </w:rPr>
        <w:t>3.</w:t>
      </w:r>
      <w:r>
        <w:rPr>
          <w:rFonts w:hint="eastAsia"/>
          <w:color w:val="auto"/>
          <w:highlight w:val="none"/>
        </w:rPr>
        <w:t>引导新材料重点企业扩产，推进新材料产业规模化发展</w:t>
      </w:r>
    </w:p>
    <w:p w14:paraId="0EF09BAF">
      <w:pPr>
        <w:pStyle w:val="37"/>
        <w:ind w:firstLine="560"/>
        <w:rPr>
          <w:color w:val="auto"/>
          <w:highlight w:val="none"/>
        </w:rPr>
      </w:pPr>
      <w:r>
        <w:rPr>
          <w:rFonts w:hint="eastAsia"/>
          <w:color w:val="auto"/>
          <w:highlight w:val="none"/>
        </w:rPr>
        <w:t>通过硅石产业园和方解石产业园等园区建设，鼓励产业重点企业精细化多元化发展，推进新材料产业规模化发展。引导星光硅质、天慧矿业等企业发展精深加工，实现清洁、安全生产，实现资源综合利用，采用先进技术升级生产工艺，运用信息化技术提高产业的发展水平和发展质量。形成重点突出、结构合理的新材料产业发展格局，助推新材料产业形成规模。</w:t>
      </w:r>
    </w:p>
    <w:p w14:paraId="0E5524DF">
      <w:pPr>
        <w:pStyle w:val="37"/>
        <w:ind w:firstLine="560"/>
        <w:rPr>
          <w:color w:val="auto"/>
          <w:highlight w:val="none"/>
        </w:rPr>
      </w:pPr>
      <w:r>
        <w:rPr>
          <w:rFonts w:hint="eastAsia"/>
          <w:color w:val="auto"/>
          <w:highlight w:val="none"/>
        </w:rPr>
        <w:t>紧盯各类市场主体发展需求，结合上级各类政策措施，出台支持地区实体经济高质量发展政策措施。不断提高产业链供应链稳定，深化“双本”融合，强化钢地合作，推动“链主”企业和上下游企业稳定配套联合体，提高头部企业本地配套率。围绕加强重要能源矿产资源勘探开发和增储上产，全面启动新一轮战略性矿产找矿行动。力争</w:t>
      </w:r>
      <w:r>
        <w:rPr>
          <w:color w:val="auto"/>
          <w:highlight w:val="none"/>
        </w:rPr>
        <w:t>2025年，规上工业总产值实现70亿元，规上工业企业达到30户。</w:t>
      </w:r>
    </w:p>
    <w:p w14:paraId="32B9681F">
      <w:pPr>
        <w:pStyle w:val="4"/>
        <w:ind w:firstLine="643"/>
        <w:rPr>
          <w:color w:val="auto"/>
          <w:highlight w:val="none"/>
        </w:rPr>
      </w:pPr>
      <w:bookmarkStart w:id="18" w:name="_Toc143701963"/>
      <w:r>
        <w:rPr>
          <w:rFonts w:hint="eastAsia"/>
          <w:color w:val="auto"/>
          <w:highlight w:val="none"/>
        </w:rPr>
        <w:t>第三节 做好“老原新”打造产业发展新链条</w:t>
      </w:r>
      <w:bookmarkEnd w:id="18"/>
    </w:p>
    <w:p w14:paraId="185F7062">
      <w:pPr>
        <w:pStyle w:val="37"/>
        <w:ind w:firstLine="560"/>
        <w:rPr>
          <w:color w:val="auto"/>
          <w:highlight w:val="none"/>
        </w:rPr>
      </w:pPr>
      <w:r>
        <w:rPr>
          <w:rFonts w:hint="eastAsia"/>
          <w:color w:val="auto"/>
          <w:highlight w:val="none"/>
        </w:rPr>
        <w:t>十四五时期，南芬区积极响应本溪市的工业发展战略布局，着力做好工业的“三篇大文章”，即贯彻落实省委省政府的“改造升级‘老字号’，深度开发‘原字号’，培育壮大‘新字号’”工业发展部署，围绕重点产业进行建链、补链、强链，实现重点产业链上下游协作共贏发展。</w:t>
      </w:r>
    </w:p>
    <w:p w14:paraId="1BF93C67">
      <w:pPr>
        <w:pStyle w:val="37"/>
        <w:ind w:firstLine="560"/>
        <w:rPr>
          <w:color w:val="auto"/>
          <w:highlight w:val="none"/>
        </w:rPr>
      </w:pPr>
      <w:r>
        <w:rPr>
          <w:rFonts w:hint="eastAsia"/>
          <w:color w:val="auto"/>
          <w:highlight w:val="none"/>
        </w:rPr>
        <w:t>1.通过改造升级“老字号”，提升南芬区传统产业的战斗力</w:t>
      </w:r>
    </w:p>
    <w:p w14:paraId="0F3491BB">
      <w:pPr>
        <w:pStyle w:val="37"/>
        <w:ind w:firstLine="560"/>
        <w:rPr>
          <w:color w:val="auto"/>
          <w:highlight w:val="none"/>
        </w:rPr>
      </w:pPr>
      <w:r>
        <w:rPr>
          <w:rFonts w:hint="eastAsia"/>
          <w:color w:val="auto"/>
          <w:highlight w:val="none"/>
        </w:rPr>
        <w:t>围绕具有市场竞争优势的“老字号”企业，坚持创新促升级、扩量调结构，用先进适用技术和信息化、绿色化、服务化改造提升采选产业。引导支持企业采用先进适用技术，对现有设备、工艺及产品等进行改造升级，推行“机器换人、设备换芯、生产换线”，提高企业研发设计、制造工艺和生产管理水平。盘活烁丰铸业、锋达钢制包装袋等15家停产企业，鼓励聚鑫达等企业实施升级改造。全方位推进钢地合作，积极配合本钢球团厂选址重建，缩短南芬地区本钢产业链上下游运输距离，大幅度降低企业生产成本。</w:t>
      </w:r>
    </w:p>
    <w:tbl>
      <w:tblPr>
        <w:tblStyle w:val="19"/>
        <w:tblW w:w="5000" w:type="dxa"/>
        <w:jc w:val="center"/>
        <w:tblLayout w:type="autofit"/>
        <w:tblCellMar>
          <w:top w:w="0" w:type="dxa"/>
          <w:left w:w="108" w:type="dxa"/>
          <w:bottom w:w="0" w:type="dxa"/>
          <w:right w:w="108" w:type="dxa"/>
        </w:tblCellMar>
      </w:tblPr>
      <w:tblGrid>
        <w:gridCol w:w="1080"/>
        <w:gridCol w:w="3920"/>
      </w:tblGrid>
      <w:tr w14:paraId="2BB99A47">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5AA6E">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序号</w:t>
            </w:r>
          </w:p>
        </w:tc>
        <w:tc>
          <w:tcPr>
            <w:tcW w:w="3920" w:type="dxa"/>
            <w:tcBorders>
              <w:top w:val="single" w:color="auto" w:sz="4" w:space="0"/>
              <w:left w:val="nil"/>
              <w:bottom w:val="single" w:color="auto" w:sz="4" w:space="0"/>
              <w:right w:val="single" w:color="auto" w:sz="4" w:space="0"/>
            </w:tcBorders>
            <w:shd w:val="clear" w:color="auto" w:fill="auto"/>
            <w:noWrap/>
            <w:vAlign w:val="center"/>
          </w:tcPr>
          <w:p w14:paraId="75B6F213">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“老字号”企业名称</w:t>
            </w:r>
          </w:p>
        </w:tc>
      </w:tr>
      <w:tr w14:paraId="6939D8BE">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0511B71">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3920" w:type="dxa"/>
            <w:tcBorders>
              <w:top w:val="nil"/>
              <w:left w:val="nil"/>
              <w:bottom w:val="single" w:color="auto" w:sz="4" w:space="0"/>
              <w:right w:val="single" w:color="auto" w:sz="4" w:space="0"/>
            </w:tcBorders>
            <w:shd w:val="clear" w:color="auto" w:fill="auto"/>
            <w:noWrap/>
            <w:vAlign w:val="center"/>
          </w:tcPr>
          <w:p w14:paraId="18364C34">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泰家木业（本溪）有限公司</w:t>
            </w:r>
          </w:p>
        </w:tc>
      </w:tr>
      <w:tr w14:paraId="0173C4D8">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4A30EB2">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3920" w:type="dxa"/>
            <w:tcBorders>
              <w:top w:val="nil"/>
              <w:left w:val="nil"/>
              <w:bottom w:val="single" w:color="auto" w:sz="4" w:space="0"/>
              <w:right w:val="single" w:color="auto" w:sz="4" w:space="0"/>
            </w:tcBorders>
            <w:shd w:val="clear" w:color="auto" w:fill="auto"/>
            <w:noWrap/>
            <w:vAlign w:val="center"/>
          </w:tcPr>
          <w:p w14:paraId="47A758AE">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辽宁东铄新材料科技有限公司</w:t>
            </w:r>
          </w:p>
        </w:tc>
      </w:tr>
      <w:tr w14:paraId="03D507F4">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6EAF1BD">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3</w:t>
            </w:r>
          </w:p>
        </w:tc>
        <w:tc>
          <w:tcPr>
            <w:tcW w:w="3920" w:type="dxa"/>
            <w:tcBorders>
              <w:top w:val="nil"/>
              <w:left w:val="nil"/>
              <w:bottom w:val="single" w:color="auto" w:sz="4" w:space="0"/>
              <w:right w:val="single" w:color="auto" w:sz="4" w:space="0"/>
            </w:tcBorders>
            <w:shd w:val="clear" w:color="auto" w:fill="auto"/>
            <w:noWrap/>
            <w:vAlign w:val="center"/>
          </w:tcPr>
          <w:p w14:paraId="47D546BC">
            <w:pPr>
              <w:ind w:left="29"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本溪市聚鑫达机械制造有限公司</w:t>
            </w:r>
          </w:p>
        </w:tc>
      </w:tr>
    </w:tbl>
    <w:p w14:paraId="21A3F834">
      <w:pPr>
        <w:pStyle w:val="37"/>
        <w:ind w:firstLine="560"/>
        <w:rPr>
          <w:color w:val="auto"/>
          <w:highlight w:val="none"/>
        </w:rPr>
      </w:pPr>
      <w:r>
        <w:rPr>
          <w:rFonts w:hint="eastAsia"/>
          <w:color w:val="auto"/>
          <w:highlight w:val="none"/>
        </w:rPr>
        <w:t>2.通过深度开发“原字号”，增强南芬区特色产业的竞争力</w:t>
      </w:r>
    </w:p>
    <w:p w14:paraId="26E30A3E">
      <w:pPr>
        <w:ind w:firstLine="560"/>
        <w:rPr>
          <w:color w:val="auto"/>
          <w:highlight w:val="none"/>
        </w:rPr>
      </w:pPr>
      <w:r>
        <w:rPr>
          <w:rFonts w:hint="eastAsia"/>
          <w:color w:val="auto"/>
          <w:highlight w:val="none"/>
        </w:rPr>
        <w:t>遵循绿色发展原则，深度开发“原字号”人参铁资源，推进矿山、铁选等企业绿色开发，以“加长版”产业链条为“引擎”，以发展精深加工为“助推器”，利用现有年产70万吨优质球墨铸铁资源及短流程铸造生产工艺，重点打造优质钢铁深加工原材料基地、高端绿色铸造产业集聚区，重点引进和生产矿山机械、工程机械、汽车部件、特种轧辊、风电部件和消防管件等高端铸件产品，实现将本溪优质人参铁就地转化，争取实现铁矿资源效益的最大化目标，成为助推南芬振兴发展的“强力引擎”。</w:t>
      </w:r>
    </w:p>
    <w:tbl>
      <w:tblPr>
        <w:tblStyle w:val="19"/>
        <w:tblW w:w="5949" w:type="dxa"/>
        <w:jc w:val="center"/>
        <w:tblLayout w:type="autofit"/>
        <w:tblCellMar>
          <w:top w:w="0" w:type="dxa"/>
          <w:left w:w="108" w:type="dxa"/>
          <w:bottom w:w="0" w:type="dxa"/>
          <w:right w:w="108" w:type="dxa"/>
        </w:tblCellMar>
      </w:tblPr>
      <w:tblGrid>
        <w:gridCol w:w="1080"/>
        <w:gridCol w:w="4869"/>
      </w:tblGrid>
      <w:tr w14:paraId="11B4D989">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5053B6">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序号</w:t>
            </w:r>
          </w:p>
        </w:tc>
        <w:tc>
          <w:tcPr>
            <w:tcW w:w="4869" w:type="dxa"/>
            <w:tcBorders>
              <w:top w:val="single" w:color="auto" w:sz="4" w:space="0"/>
              <w:left w:val="nil"/>
              <w:bottom w:val="single" w:color="auto" w:sz="4" w:space="0"/>
              <w:right w:val="single" w:color="auto" w:sz="4" w:space="0"/>
            </w:tcBorders>
            <w:shd w:val="clear" w:color="auto" w:fill="auto"/>
            <w:noWrap/>
            <w:vAlign w:val="center"/>
          </w:tcPr>
          <w:p w14:paraId="0E9972B6">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“原字号”企业名称</w:t>
            </w:r>
          </w:p>
        </w:tc>
      </w:tr>
      <w:tr w14:paraId="5BF27862">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99EAD35">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4869" w:type="dxa"/>
            <w:tcBorders>
              <w:top w:val="nil"/>
              <w:left w:val="nil"/>
              <w:bottom w:val="single" w:color="auto" w:sz="4" w:space="0"/>
              <w:right w:val="single" w:color="auto" w:sz="4" w:space="0"/>
            </w:tcBorders>
            <w:shd w:val="clear" w:color="auto" w:fill="auto"/>
            <w:noWrap/>
            <w:vAlign w:val="center"/>
          </w:tcPr>
          <w:p w14:paraId="410F9DA5">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本溪同顺源矿业有限公司</w:t>
            </w:r>
          </w:p>
        </w:tc>
      </w:tr>
      <w:tr w14:paraId="56830479">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8B38125">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4869" w:type="dxa"/>
            <w:tcBorders>
              <w:top w:val="nil"/>
              <w:left w:val="nil"/>
              <w:bottom w:val="single" w:color="auto" w:sz="4" w:space="0"/>
              <w:right w:val="single" w:color="auto" w:sz="4" w:space="0"/>
            </w:tcBorders>
            <w:shd w:val="clear" w:color="auto" w:fill="auto"/>
            <w:noWrap/>
            <w:vAlign w:val="center"/>
          </w:tcPr>
          <w:p w14:paraId="4F34522C">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本溪星辉矿业有限公司</w:t>
            </w:r>
          </w:p>
        </w:tc>
      </w:tr>
      <w:tr w14:paraId="4D859A07">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62E93218">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3</w:t>
            </w:r>
          </w:p>
        </w:tc>
        <w:tc>
          <w:tcPr>
            <w:tcW w:w="4869" w:type="dxa"/>
            <w:tcBorders>
              <w:top w:val="nil"/>
              <w:left w:val="nil"/>
              <w:bottom w:val="single" w:color="auto" w:sz="4" w:space="0"/>
              <w:right w:val="single" w:color="auto" w:sz="4" w:space="0"/>
            </w:tcBorders>
            <w:shd w:val="clear" w:color="auto" w:fill="auto"/>
            <w:noWrap/>
            <w:vAlign w:val="center"/>
          </w:tcPr>
          <w:p w14:paraId="00AD1278">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本溪东方沈家铁选厂</w:t>
            </w:r>
          </w:p>
        </w:tc>
      </w:tr>
      <w:tr w14:paraId="2BC7981F">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9490DEC">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w:t>
            </w:r>
          </w:p>
        </w:tc>
        <w:tc>
          <w:tcPr>
            <w:tcW w:w="4869" w:type="dxa"/>
            <w:tcBorders>
              <w:top w:val="nil"/>
              <w:left w:val="nil"/>
              <w:bottom w:val="single" w:color="auto" w:sz="4" w:space="0"/>
              <w:right w:val="single" w:color="auto" w:sz="4" w:space="0"/>
            </w:tcBorders>
            <w:shd w:val="clear" w:color="auto" w:fill="auto"/>
            <w:noWrap/>
            <w:vAlign w:val="center"/>
          </w:tcPr>
          <w:p w14:paraId="2EBAFFD0">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本溪东诚硅石加工有限公司</w:t>
            </w:r>
          </w:p>
        </w:tc>
      </w:tr>
      <w:tr w14:paraId="4954A418">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979B8A6">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5</w:t>
            </w:r>
          </w:p>
        </w:tc>
        <w:tc>
          <w:tcPr>
            <w:tcW w:w="4869" w:type="dxa"/>
            <w:tcBorders>
              <w:top w:val="nil"/>
              <w:left w:val="nil"/>
              <w:bottom w:val="single" w:color="auto" w:sz="4" w:space="0"/>
              <w:right w:val="single" w:color="auto" w:sz="4" w:space="0"/>
            </w:tcBorders>
            <w:shd w:val="clear" w:color="auto" w:fill="auto"/>
            <w:noWrap/>
            <w:vAlign w:val="center"/>
          </w:tcPr>
          <w:p w14:paraId="32752C1B">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本溪市金山红铁选厂</w:t>
            </w:r>
          </w:p>
        </w:tc>
      </w:tr>
      <w:tr w14:paraId="4AA08B18">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08BD28F">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6</w:t>
            </w:r>
          </w:p>
        </w:tc>
        <w:tc>
          <w:tcPr>
            <w:tcW w:w="4869" w:type="dxa"/>
            <w:tcBorders>
              <w:top w:val="nil"/>
              <w:left w:val="nil"/>
              <w:bottom w:val="single" w:color="auto" w:sz="4" w:space="0"/>
              <w:right w:val="single" w:color="auto" w:sz="4" w:space="0"/>
            </w:tcBorders>
            <w:shd w:val="clear" w:color="auto" w:fill="auto"/>
            <w:noWrap/>
            <w:vAlign w:val="center"/>
          </w:tcPr>
          <w:p w14:paraId="35D054D2">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本溪钢联矿石精选有限公司</w:t>
            </w:r>
          </w:p>
        </w:tc>
      </w:tr>
      <w:tr w14:paraId="6FB56618">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A346A50">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7</w:t>
            </w:r>
          </w:p>
        </w:tc>
        <w:tc>
          <w:tcPr>
            <w:tcW w:w="4869" w:type="dxa"/>
            <w:tcBorders>
              <w:top w:val="nil"/>
              <w:left w:val="nil"/>
              <w:bottom w:val="single" w:color="auto" w:sz="4" w:space="0"/>
              <w:right w:val="single" w:color="auto" w:sz="4" w:space="0"/>
            </w:tcBorders>
            <w:shd w:val="clear" w:color="auto" w:fill="auto"/>
            <w:noWrap/>
            <w:vAlign w:val="center"/>
          </w:tcPr>
          <w:p w14:paraId="43CBFB67">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本溪钢联矿产品加工有限公司</w:t>
            </w:r>
          </w:p>
        </w:tc>
      </w:tr>
      <w:tr w14:paraId="080248EC">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3CD7E9C">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8</w:t>
            </w:r>
          </w:p>
        </w:tc>
        <w:tc>
          <w:tcPr>
            <w:tcW w:w="4869" w:type="dxa"/>
            <w:tcBorders>
              <w:top w:val="nil"/>
              <w:left w:val="nil"/>
              <w:bottom w:val="single" w:color="auto" w:sz="4" w:space="0"/>
              <w:right w:val="single" w:color="auto" w:sz="4" w:space="0"/>
            </w:tcBorders>
            <w:shd w:val="clear" w:color="auto" w:fill="auto"/>
            <w:noWrap/>
            <w:vAlign w:val="center"/>
          </w:tcPr>
          <w:p w14:paraId="4AA19DFC">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本溪市南芬土石方工程有限责任公司</w:t>
            </w:r>
          </w:p>
        </w:tc>
      </w:tr>
      <w:tr w14:paraId="23910822">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9BE8D78">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9</w:t>
            </w:r>
          </w:p>
        </w:tc>
        <w:tc>
          <w:tcPr>
            <w:tcW w:w="4869" w:type="dxa"/>
            <w:tcBorders>
              <w:top w:val="nil"/>
              <w:left w:val="nil"/>
              <w:bottom w:val="single" w:color="auto" w:sz="4" w:space="0"/>
              <w:right w:val="single" w:color="auto" w:sz="4" w:space="0"/>
            </w:tcBorders>
            <w:shd w:val="clear" w:color="auto" w:fill="auto"/>
            <w:noWrap/>
            <w:vAlign w:val="center"/>
          </w:tcPr>
          <w:p w14:paraId="31136EF6">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本溪市南芬矿产资源开发有限公司</w:t>
            </w:r>
          </w:p>
        </w:tc>
      </w:tr>
      <w:tr w14:paraId="5E9EDED7">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E5AE385">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10</w:t>
            </w:r>
          </w:p>
        </w:tc>
        <w:tc>
          <w:tcPr>
            <w:tcW w:w="4869" w:type="dxa"/>
            <w:tcBorders>
              <w:top w:val="nil"/>
              <w:left w:val="nil"/>
              <w:bottom w:val="single" w:color="auto" w:sz="4" w:space="0"/>
              <w:right w:val="single" w:color="auto" w:sz="4" w:space="0"/>
            </w:tcBorders>
            <w:shd w:val="clear" w:color="auto" w:fill="auto"/>
            <w:noWrap/>
            <w:vAlign w:val="center"/>
          </w:tcPr>
          <w:p w14:paraId="29AB5F59">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本溪星光硅质原料有限公司</w:t>
            </w:r>
          </w:p>
        </w:tc>
      </w:tr>
      <w:tr w14:paraId="60E30068">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64DF6774">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11</w:t>
            </w:r>
          </w:p>
        </w:tc>
        <w:tc>
          <w:tcPr>
            <w:tcW w:w="4869" w:type="dxa"/>
            <w:tcBorders>
              <w:top w:val="nil"/>
              <w:left w:val="nil"/>
              <w:bottom w:val="single" w:color="auto" w:sz="4" w:space="0"/>
              <w:right w:val="single" w:color="auto" w:sz="4" w:space="0"/>
            </w:tcBorders>
            <w:shd w:val="clear" w:color="auto" w:fill="auto"/>
            <w:noWrap/>
            <w:vAlign w:val="center"/>
          </w:tcPr>
          <w:p w14:paraId="52DF1453">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本溪天慧矿业有限公司</w:t>
            </w:r>
          </w:p>
        </w:tc>
      </w:tr>
      <w:tr w14:paraId="1C47722E">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1887B05">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12</w:t>
            </w:r>
          </w:p>
        </w:tc>
        <w:tc>
          <w:tcPr>
            <w:tcW w:w="4869" w:type="dxa"/>
            <w:tcBorders>
              <w:top w:val="nil"/>
              <w:left w:val="nil"/>
              <w:bottom w:val="single" w:color="auto" w:sz="4" w:space="0"/>
              <w:right w:val="single" w:color="auto" w:sz="4" w:space="0"/>
            </w:tcBorders>
            <w:shd w:val="clear" w:color="auto" w:fill="auto"/>
            <w:noWrap/>
            <w:vAlign w:val="center"/>
          </w:tcPr>
          <w:p w14:paraId="76F087C9">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本溪市圣华化工有限公司</w:t>
            </w:r>
          </w:p>
        </w:tc>
      </w:tr>
      <w:tr w14:paraId="2695098C">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617F3DDD">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13</w:t>
            </w:r>
          </w:p>
        </w:tc>
        <w:tc>
          <w:tcPr>
            <w:tcW w:w="4869" w:type="dxa"/>
            <w:tcBorders>
              <w:top w:val="nil"/>
              <w:left w:val="nil"/>
              <w:bottom w:val="single" w:color="auto" w:sz="4" w:space="0"/>
              <w:right w:val="single" w:color="auto" w:sz="4" w:space="0"/>
            </w:tcBorders>
            <w:shd w:val="clear" w:color="auto" w:fill="auto"/>
            <w:noWrap/>
            <w:vAlign w:val="center"/>
          </w:tcPr>
          <w:p w14:paraId="6890E4A4">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本溪龙新矿业有限公司</w:t>
            </w:r>
          </w:p>
        </w:tc>
      </w:tr>
      <w:tr w14:paraId="2B3FE369">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8911E31">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14</w:t>
            </w:r>
          </w:p>
        </w:tc>
        <w:tc>
          <w:tcPr>
            <w:tcW w:w="4869" w:type="dxa"/>
            <w:tcBorders>
              <w:top w:val="nil"/>
              <w:left w:val="nil"/>
              <w:bottom w:val="single" w:color="auto" w:sz="4" w:space="0"/>
              <w:right w:val="single" w:color="auto" w:sz="4" w:space="0"/>
            </w:tcBorders>
            <w:shd w:val="clear" w:color="auto" w:fill="auto"/>
            <w:noWrap/>
            <w:vAlign w:val="center"/>
          </w:tcPr>
          <w:p w14:paraId="65EBFD36">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本溪思山岭云新矿业有限公司</w:t>
            </w:r>
          </w:p>
        </w:tc>
      </w:tr>
      <w:tr w14:paraId="12197B73">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653CE6CB">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15</w:t>
            </w:r>
          </w:p>
        </w:tc>
        <w:tc>
          <w:tcPr>
            <w:tcW w:w="4869" w:type="dxa"/>
            <w:tcBorders>
              <w:top w:val="nil"/>
              <w:left w:val="nil"/>
              <w:bottom w:val="single" w:color="auto" w:sz="4" w:space="0"/>
              <w:right w:val="single" w:color="auto" w:sz="4" w:space="0"/>
            </w:tcBorders>
            <w:shd w:val="clear" w:color="auto" w:fill="auto"/>
            <w:noWrap/>
            <w:vAlign w:val="center"/>
          </w:tcPr>
          <w:p w14:paraId="72A66151">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本溪思山岭中泰矿业有限公司</w:t>
            </w:r>
          </w:p>
        </w:tc>
      </w:tr>
      <w:tr w14:paraId="613D4A4E">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F4704B0">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16</w:t>
            </w:r>
          </w:p>
        </w:tc>
        <w:tc>
          <w:tcPr>
            <w:tcW w:w="4869" w:type="dxa"/>
            <w:tcBorders>
              <w:top w:val="nil"/>
              <w:left w:val="nil"/>
              <w:bottom w:val="single" w:color="auto" w:sz="4" w:space="0"/>
              <w:right w:val="single" w:color="auto" w:sz="4" w:space="0"/>
            </w:tcBorders>
            <w:shd w:val="clear" w:color="auto" w:fill="auto"/>
            <w:noWrap/>
            <w:vAlign w:val="center"/>
          </w:tcPr>
          <w:p w14:paraId="33DA3F6C">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本溪市聚鑫达矿业有限公司</w:t>
            </w:r>
          </w:p>
        </w:tc>
      </w:tr>
      <w:tr w14:paraId="4BF2F09B">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E08887">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17</w:t>
            </w:r>
          </w:p>
        </w:tc>
        <w:tc>
          <w:tcPr>
            <w:tcW w:w="48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324E73">
            <w:pPr>
              <w:ind w:firstLine="420"/>
              <w:jc w:val="both"/>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本溪宏大矿业有限公司</w:t>
            </w:r>
          </w:p>
        </w:tc>
      </w:tr>
    </w:tbl>
    <w:p w14:paraId="25190C21">
      <w:pPr>
        <w:pStyle w:val="37"/>
        <w:ind w:firstLine="560"/>
        <w:rPr>
          <w:color w:val="auto"/>
          <w:highlight w:val="none"/>
        </w:rPr>
      </w:pPr>
      <w:r>
        <w:rPr>
          <w:rFonts w:hint="eastAsia"/>
          <w:color w:val="auto"/>
          <w:highlight w:val="none"/>
        </w:rPr>
        <w:t>3.通过培育壮大“新字号”，打造南芬区新兴产业的创新力</w:t>
      </w:r>
    </w:p>
    <w:p w14:paraId="0CDC22BD">
      <w:pPr>
        <w:ind w:firstLine="560"/>
        <w:rPr>
          <w:color w:val="auto"/>
          <w:highlight w:val="none"/>
        </w:rPr>
      </w:pPr>
      <w:r>
        <w:rPr>
          <w:rFonts w:hint="eastAsia"/>
          <w:color w:val="auto"/>
          <w:highlight w:val="none"/>
        </w:rPr>
        <w:t>以科技创新和机制创新推动资金链、产业链和创新链对接，逐步构建多层次、分阶段、递进式的科技型企业成长体系。以先进技术建设先进产业，引进科技创新企业，为培育壮大“新字号”注入活力。鼓励现有企业提高自主创新能力，加大新产品研发力度，运用信息化技术提高产业的发展水平和发展质量。应用高超纯生铁冶炼、轻还原法冶炼、纳米技术等新技术改造优化铸造工艺，将高纯提炼工艺技术等改造传统硅石、方解石生产方法，培育南芬经济增长新动能，打造重点突出、结构合理的新产业。</w:t>
      </w:r>
    </w:p>
    <w:p w14:paraId="321943CB">
      <w:pPr>
        <w:ind w:firstLine="560"/>
        <w:rPr>
          <w:color w:val="auto"/>
          <w:highlight w:val="none"/>
        </w:rPr>
      </w:pPr>
    </w:p>
    <w:tbl>
      <w:tblPr>
        <w:tblStyle w:val="19"/>
        <w:tblW w:w="5000" w:type="dxa"/>
        <w:jc w:val="center"/>
        <w:tblLayout w:type="autofit"/>
        <w:tblCellMar>
          <w:top w:w="0" w:type="dxa"/>
          <w:left w:w="108" w:type="dxa"/>
          <w:bottom w:w="0" w:type="dxa"/>
          <w:right w:w="108" w:type="dxa"/>
        </w:tblCellMar>
      </w:tblPr>
      <w:tblGrid>
        <w:gridCol w:w="1080"/>
        <w:gridCol w:w="3920"/>
      </w:tblGrid>
      <w:tr w14:paraId="515A30B2">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D47BB6">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序号</w:t>
            </w:r>
          </w:p>
        </w:tc>
        <w:tc>
          <w:tcPr>
            <w:tcW w:w="3920" w:type="dxa"/>
            <w:tcBorders>
              <w:top w:val="single" w:color="auto" w:sz="4" w:space="0"/>
              <w:left w:val="nil"/>
              <w:bottom w:val="single" w:color="auto" w:sz="4" w:space="0"/>
              <w:right w:val="single" w:color="auto" w:sz="4" w:space="0"/>
            </w:tcBorders>
            <w:shd w:val="clear" w:color="auto" w:fill="auto"/>
            <w:noWrap/>
            <w:vAlign w:val="center"/>
          </w:tcPr>
          <w:p w14:paraId="2DF36E31">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“新字号”企业名称</w:t>
            </w:r>
          </w:p>
        </w:tc>
      </w:tr>
      <w:tr w14:paraId="391C57FD">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993FC1F">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3920" w:type="dxa"/>
            <w:tcBorders>
              <w:top w:val="nil"/>
              <w:left w:val="nil"/>
              <w:bottom w:val="single" w:color="auto" w:sz="4" w:space="0"/>
              <w:right w:val="single" w:color="auto" w:sz="4" w:space="0"/>
            </w:tcBorders>
            <w:shd w:val="clear" w:color="auto" w:fill="auto"/>
            <w:noWrap/>
            <w:vAlign w:val="center"/>
          </w:tcPr>
          <w:p w14:paraId="1A08A50C">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辽宁众达轧辊有限公司</w:t>
            </w:r>
          </w:p>
        </w:tc>
      </w:tr>
      <w:tr w14:paraId="0EB9954F">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484C583">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3920" w:type="dxa"/>
            <w:tcBorders>
              <w:top w:val="nil"/>
              <w:left w:val="nil"/>
              <w:bottom w:val="single" w:color="auto" w:sz="4" w:space="0"/>
              <w:right w:val="single" w:color="auto" w:sz="4" w:space="0"/>
            </w:tcBorders>
            <w:shd w:val="clear" w:color="auto" w:fill="auto"/>
            <w:noWrap/>
            <w:vAlign w:val="center"/>
          </w:tcPr>
          <w:p w14:paraId="59882A61">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天宇高科（本溪）冶金铸造有限公司</w:t>
            </w:r>
          </w:p>
        </w:tc>
      </w:tr>
      <w:tr w14:paraId="6A13AE60">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6F0191A">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3</w:t>
            </w:r>
          </w:p>
        </w:tc>
        <w:tc>
          <w:tcPr>
            <w:tcW w:w="3920" w:type="dxa"/>
            <w:tcBorders>
              <w:top w:val="nil"/>
              <w:left w:val="nil"/>
              <w:bottom w:val="single" w:color="auto" w:sz="4" w:space="0"/>
              <w:right w:val="single" w:color="auto" w:sz="4" w:space="0"/>
            </w:tcBorders>
            <w:shd w:val="clear" w:color="auto" w:fill="auto"/>
            <w:noWrap/>
            <w:vAlign w:val="center"/>
          </w:tcPr>
          <w:p w14:paraId="71B80CE5">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辽宁顺安消防科技有限公司</w:t>
            </w:r>
          </w:p>
        </w:tc>
      </w:tr>
      <w:tr w14:paraId="3559262C">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34B82B">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w:t>
            </w:r>
          </w:p>
        </w:tc>
        <w:tc>
          <w:tcPr>
            <w:tcW w:w="39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455495">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辽宁高端金属材料有限公司</w:t>
            </w:r>
          </w:p>
        </w:tc>
      </w:tr>
      <w:tr w14:paraId="59A7AFF9">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BA6BA2">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5</w:t>
            </w:r>
          </w:p>
        </w:tc>
        <w:tc>
          <w:tcPr>
            <w:tcW w:w="39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EBC52B">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辽宁东方硅基新材料科技有限公司</w:t>
            </w:r>
          </w:p>
        </w:tc>
      </w:tr>
      <w:tr w14:paraId="18245840">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3CD9A0">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6</w:t>
            </w:r>
          </w:p>
        </w:tc>
        <w:tc>
          <w:tcPr>
            <w:tcW w:w="39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597489">
            <w:pPr>
              <w:ind w:firstLine="0" w:firstLineChars="0"/>
              <w:rPr>
                <w:rFonts w:asciiTheme="minorEastAsia" w:hAnsiTheme="minorEastAsia" w:eastAsiaTheme="minorEastAsia"/>
                <w:color w:val="auto"/>
                <w:sz w:val="21"/>
                <w:szCs w:val="21"/>
                <w:highlight w:val="none"/>
              </w:rPr>
            </w:pPr>
            <w:r>
              <w:rPr>
                <w:rFonts w:hint="eastAsia" w:eastAsia="宋体"/>
                <w:color w:val="auto"/>
                <w:sz w:val="21"/>
                <w:szCs w:val="21"/>
                <w:highlight w:val="none"/>
              </w:rPr>
              <w:t>辽宁高端金属材料有限公司</w:t>
            </w:r>
          </w:p>
        </w:tc>
      </w:tr>
      <w:tr w14:paraId="220B3F9B">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D4A9E3">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7</w:t>
            </w:r>
          </w:p>
        </w:tc>
        <w:tc>
          <w:tcPr>
            <w:tcW w:w="39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2CC064">
            <w:pPr>
              <w:ind w:firstLine="0" w:firstLineChars="0"/>
              <w:rPr>
                <w:rFonts w:eastAsia="宋体"/>
                <w:color w:val="auto"/>
                <w:szCs w:val="21"/>
                <w:highlight w:val="none"/>
              </w:rPr>
            </w:pPr>
            <w:r>
              <w:rPr>
                <w:rFonts w:hint="eastAsia" w:eastAsia="宋体"/>
                <w:color w:val="auto"/>
                <w:sz w:val="21"/>
                <w:szCs w:val="21"/>
                <w:highlight w:val="none"/>
              </w:rPr>
              <w:t>本溪玉晶资源综合利用开发有限公司</w:t>
            </w:r>
          </w:p>
        </w:tc>
      </w:tr>
      <w:tr w14:paraId="5351E39C">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7E0E65">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8</w:t>
            </w:r>
          </w:p>
        </w:tc>
        <w:tc>
          <w:tcPr>
            <w:tcW w:w="39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7F5EE4">
            <w:pPr>
              <w:ind w:firstLine="0" w:firstLineChars="0"/>
              <w:rPr>
                <w:rFonts w:eastAsia="宋体"/>
                <w:color w:val="auto"/>
                <w:sz w:val="21"/>
                <w:szCs w:val="21"/>
                <w:highlight w:val="none"/>
              </w:rPr>
            </w:pPr>
            <w:r>
              <w:rPr>
                <w:rFonts w:hint="eastAsia" w:eastAsia="宋体"/>
                <w:color w:val="auto"/>
                <w:sz w:val="21"/>
                <w:szCs w:val="21"/>
                <w:highlight w:val="none"/>
              </w:rPr>
              <w:t>本溪市华砚石材有限公司</w:t>
            </w:r>
          </w:p>
        </w:tc>
      </w:tr>
      <w:tr w14:paraId="004F3DB4">
        <w:tblPrEx>
          <w:tblCellMar>
            <w:top w:w="0" w:type="dxa"/>
            <w:left w:w="108" w:type="dxa"/>
            <w:bottom w:w="0" w:type="dxa"/>
            <w:right w:w="108"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E8A573">
            <w:pPr>
              <w:ind w:firstLine="0" w:firstLineChars="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9</w:t>
            </w:r>
          </w:p>
        </w:tc>
        <w:tc>
          <w:tcPr>
            <w:tcW w:w="39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D5BDBE">
            <w:pPr>
              <w:ind w:firstLine="0" w:firstLineChars="0"/>
              <w:rPr>
                <w:rFonts w:eastAsia="宋体"/>
                <w:color w:val="auto"/>
                <w:sz w:val="21"/>
                <w:szCs w:val="21"/>
                <w:highlight w:val="none"/>
              </w:rPr>
            </w:pPr>
            <w:r>
              <w:rPr>
                <w:rFonts w:hint="eastAsia" w:eastAsia="宋体"/>
                <w:color w:val="auto"/>
                <w:sz w:val="21"/>
                <w:szCs w:val="21"/>
                <w:highlight w:val="none"/>
              </w:rPr>
              <w:t>辽宁太森矿业有限公司</w:t>
            </w:r>
          </w:p>
        </w:tc>
      </w:tr>
    </w:tbl>
    <w:p w14:paraId="7CB02A1D">
      <w:pPr>
        <w:pStyle w:val="4"/>
        <w:ind w:firstLine="643"/>
        <w:rPr>
          <w:color w:val="auto"/>
          <w:highlight w:val="none"/>
        </w:rPr>
      </w:pPr>
      <w:bookmarkStart w:id="19" w:name="_Toc143701964"/>
      <w:r>
        <w:rPr>
          <w:color w:val="auto"/>
          <w:highlight w:val="none"/>
        </w:rPr>
        <w:t>第</w:t>
      </w:r>
      <w:r>
        <w:rPr>
          <w:rFonts w:hint="eastAsia"/>
          <w:color w:val="auto"/>
          <w:highlight w:val="none"/>
        </w:rPr>
        <w:t>四</w:t>
      </w:r>
      <w:r>
        <w:rPr>
          <w:color w:val="auto"/>
          <w:highlight w:val="none"/>
        </w:rPr>
        <w:t>节</w:t>
      </w:r>
      <w:r>
        <w:rPr>
          <w:rFonts w:hint="eastAsia"/>
          <w:color w:val="auto"/>
          <w:highlight w:val="none"/>
        </w:rPr>
        <w:t xml:space="preserve"> 推动产业创新 打造产业内生新动能</w:t>
      </w:r>
      <w:bookmarkEnd w:id="19"/>
    </w:p>
    <w:p w14:paraId="6D1924F3">
      <w:pPr>
        <w:ind w:firstLine="560"/>
        <w:rPr>
          <w:color w:val="auto"/>
          <w:highlight w:val="none"/>
        </w:rPr>
      </w:pPr>
      <w:r>
        <w:rPr>
          <w:rFonts w:hint="eastAsia"/>
          <w:color w:val="auto"/>
          <w:highlight w:val="none"/>
        </w:rPr>
        <w:t>高水平的制度创新成果与高质量发展项目同等重要。对标创新发展理念，通过创新紧紧抓住新一轮科技革命和产业革命的机遇，打通科技资源互联互通和共用共享通道。推动传统产业向中高端迈进,大力培育新业态,打造经济增长的新引擎。创建南芬区工业产业“五大动力源”（科技创新、互联网+、产业融合、招商引资和人才引进），打造南芬区四大中心平台支撑，打造南芬发展新动能。</w:t>
      </w:r>
    </w:p>
    <w:p w14:paraId="1A24B743">
      <w:pPr>
        <w:ind w:firstLine="560"/>
        <w:rPr>
          <w:color w:val="auto"/>
          <w:highlight w:val="none"/>
        </w:rPr>
      </w:pPr>
      <w:r>
        <w:rPr>
          <w:rFonts w:hint="eastAsia"/>
          <w:color w:val="auto"/>
          <w:highlight w:val="none"/>
        </w:rPr>
        <w:t>1. 强化创新技术攻关，增强自主创新能力</w:t>
      </w:r>
    </w:p>
    <w:p w14:paraId="690D481A">
      <w:pPr>
        <w:ind w:firstLine="560"/>
        <w:rPr>
          <w:color w:val="auto"/>
          <w:highlight w:val="none"/>
        </w:rPr>
      </w:pPr>
      <w:r>
        <w:rPr>
          <w:rFonts w:hint="eastAsia"/>
          <w:color w:val="auto"/>
          <w:highlight w:val="none"/>
        </w:rPr>
        <w:t>建立“高精尖缺”技术及产品需求清单，实施科技重大专项和军民协同创新专项。通过“揭榜挂帅”机制，加快“超深超大矿山采掘”、“铁矿尾矿磷、钛提取”、“全精矿烧结冶金”等新材料、高端装备制造技术攻关。推进科技体制改革三年攻坚，推动创新链、产业链、资金链、人才链深度融合。完善科技成果转化服务体系，加快建设一批中试基地，推动科技服务中介机构建设和发展。组织对接市级科技特派团、科技特派员开展技术攻关、产品研发，推进专家工作站（院士联系点）、省级以上学会服务站建设，推动科技成果精准对接产业需求，加速实现就地转化。</w:t>
      </w:r>
      <w:r>
        <w:rPr>
          <w:color w:val="auto"/>
          <w:highlight w:val="none"/>
        </w:rPr>
        <w:t>2025</w:t>
      </w:r>
      <w:r>
        <w:rPr>
          <w:rFonts w:hint="eastAsia"/>
          <w:color w:val="auto"/>
          <w:highlight w:val="none"/>
        </w:rPr>
        <w:t>年，登记技术合同成交额达到</w:t>
      </w:r>
      <w:r>
        <w:rPr>
          <w:color w:val="auto"/>
          <w:highlight w:val="none"/>
        </w:rPr>
        <w:t>1.2亿元。</w:t>
      </w:r>
    </w:p>
    <w:p w14:paraId="0B1548F3">
      <w:pPr>
        <w:ind w:firstLine="560"/>
        <w:rPr>
          <w:color w:val="auto"/>
          <w:highlight w:val="none"/>
        </w:rPr>
      </w:pPr>
      <w:r>
        <w:rPr>
          <w:rFonts w:hint="eastAsia" w:ascii="仿宋" w:hAnsi="仿宋" w:cs="仿宋"/>
          <w:color w:val="auto"/>
          <w:szCs w:val="28"/>
          <w:highlight w:val="none"/>
        </w:rPr>
        <w:t>实施企业梯度培育计划，支持头部企业牵头建设创新联合体，推动企业实施技术改造、数字化转型，引导中小企业走“专精特新”发展之路，助力企业建立“绿色工厂”试点示范。研究科技担保、风险补偿等政策，不断完善科技型企业扶持政策体系，推动企业快速成长。鼓励企业设立研发准备金，建设共性技术平台、开展协同攻关。加强众创空间、孵化器建设，有效集成“众创空间-孵化器-加速器-产业园”的创新孵化体系，形成点、线、面相结合的创新创业孵化服务链条。</w:t>
      </w:r>
      <w:r>
        <w:rPr>
          <w:rFonts w:hint="eastAsia"/>
          <w:color w:val="auto"/>
          <w:highlight w:val="none"/>
        </w:rPr>
        <w:t>充分利用南芬区已与上海交通大学、沈阳化工大学建立的全面战略伙伴关系，建立质量检测、行业培训、技术和产品研发等中心平台，开展技术研发、生产克难指导和职工技术培训等科研培训业务，加快铸造产业工艺改造和工艺提升，引导企业积极引进先进工艺和装备，有偿向企业转让技术，提供信息，推进新产品研发、铸造工艺计算机模拟技术、数字化加工技术、智能化制造技术等应用。打造南芬区四大中心平台支撑，推动产业科技创新能力。</w:t>
      </w:r>
      <w:r>
        <w:rPr>
          <w:rFonts w:hint="eastAsia" w:ascii="仿宋" w:hAnsi="仿宋" w:cs="仿宋"/>
          <w:color w:val="auto"/>
          <w:szCs w:val="28"/>
          <w:highlight w:val="none"/>
        </w:rPr>
        <w:t>创新能力实现新跃升，重点领域关键核心技术实现新突破。</w:t>
      </w:r>
      <w:r>
        <w:rPr>
          <w:color w:val="auto"/>
          <w:highlight w:val="none"/>
        </w:rPr>
        <w:t>2025年，科技型中小企业达到30家、高新技术企业达到4家</w:t>
      </w:r>
      <w:r>
        <w:rPr>
          <w:rFonts w:hint="eastAsia"/>
          <w:color w:val="auto"/>
          <w:highlight w:val="none"/>
        </w:rPr>
        <w:t>,</w:t>
      </w:r>
      <w:r>
        <w:rPr>
          <w:rFonts w:hint="eastAsia" w:ascii="仿宋" w:hAnsi="仿宋" w:cs="仿宋"/>
          <w:color w:val="auto"/>
          <w:szCs w:val="28"/>
          <w:highlight w:val="none"/>
        </w:rPr>
        <w:t>研发经费投入年均增速高于5%；全区人才资源总量达到5000人，新增高技能人才100名；经开区体制机制改革成效显著，主要经济指标实现增长。</w:t>
      </w:r>
    </w:p>
    <w:p w14:paraId="7D27D0E7">
      <w:pPr>
        <w:ind w:firstLine="560"/>
        <w:rPr>
          <w:color w:val="auto"/>
          <w:highlight w:val="none"/>
        </w:rPr>
      </w:pPr>
      <w:r>
        <w:rPr>
          <w:rFonts w:hint="eastAsia"/>
          <w:color w:val="auto"/>
          <w:highlight w:val="none"/>
        </w:rPr>
        <w:t>2.建设数字南芬，发展数字经济</w:t>
      </w:r>
    </w:p>
    <w:p w14:paraId="3F1A92AA">
      <w:pPr>
        <w:ind w:firstLine="560"/>
        <w:rPr>
          <w:color w:val="auto"/>
          <w:highlight w:val="none"/>
        </w:rPr>
      </w:pPr>
      <w:r>
        <w:rPr>
          <w:rFonts w:hint="eastAsia"/>
          <w:color w:val="auto"/>
          <w:highlight w:val="none"/>
        </w:rPr>
        <w:t>深入落实“数字辽宁、智造强省”战略部署，加快南芬区数字基础设施建设，超前布局第五代移动通讯、工业互联网、大数据中心等基础设施，构建泛在感知、高速连接、高效协同、智能融合、绿色安全的新型数字基础设施体系，做好对接省市一级的大数据中心的准备。大力发展数字经济，推进数字产业化和产业数字化，推动数字经济和实体经济深度融合。聚焦数字化智能化方向，推动南芬工业产业数字化、网络化、智能化改造，实施企业“互联网+云平台”数字化改造行动，促进企业研发设计、生产加工、经营管理、销售服务等业务数字化转型。</w:t>
      </w:r>
      <w:r>
        <w:rPr>
          <w:rFonts w:hint="eastAsia" w:ascii="仿宋" w:hAnsi="仿宋" w:cs="仿宋"/>
          <w:color w:val="auto"/>
          <w:szCs w:val="28"/>
          <w:highlight w:val="none"/>
        </w:rPr>
        <w:t>全面提升重点产业整体数字化水平，</w:t>
      </w:r>
      <w:r>
        <w:rPr>
          <w:rFonts w:hint="eastAsia"/>
          <w:color w:val="auto"/>
          <w:highlight w:val="none"/>
        </w:rPr>
        <w:t>鼓励使用数控机床、机器人等先进设备，提高老设备数控化程度，推广智能化生产、网络化协同服务化延伸等应用模式。到 2025 年，全区规上工业企业关键工序数控化率达到全市平均水平。</w:t>
      </w:r>
    </w:p>
    <w:p w14:paraId="195401C1">
      <w:pPr>
        <w:ind w:firstLine="560"/>
        <w:rPr>
          <w:color w:val="auto"/>
          <w:highlight w:val="none"/>
        </w:rPr>
      </w:pPr>
      <w:r>
        <w:rPr>
          <w:rFonts w:hint="eastAsia"/>
          <w:color w:val="auto"/>
          <w:highlight w:val="none"/>
        </w:rPr>
        <w:t>3.推进高层次创新人才吸引和培养</w:t>
      </w:r>
    </w:p>
    <w:p w14:paraId="1EF1D9EE">
      <w:pPr>
        <w:ind w:firstLine="560"/>
        <w:rPr>
          <w:color w:val="auto"/>
          <w:highlight w:val="none"/>
        </w:rPr>
      </w:pPr>
      <w:r>
        <w:rPr>
          <w:rFonts w:hint="eastAsia"/>
          <w:color w:val="auto"/>
          <w:highlight w:val="none"/>
        </w:rPr>
        <w:t>强化顶层设计，创新选人用人机制，拓宽引才“绿色通道”，实施更加开放的人才引进政策。持续实施“人才兴区”战略，紧盯产业发展和技术创新“关键人”，建立分类别、分层次人才培养开发计划，形成培养和引进并重的人才聚集体系。深入落实“人才兴市推进年”活动，全面贯彻落实“山城英才计划”等各项政策措施，聚焦全区振兴发展人才需求，大力引进人才，围绕“产业链”打造“人才链”。打造创新平台，大力发展“带土移植”引进人才、项目和团队，引进急需紧缺和高层次人才。加大本土人才发掘、培养、培训力度，创建产业孵化人才培养基地。宣传推动落实乡村振兴创业补贴政策，大力培育乡村振兴人才。突出人才交流合作，积极推荐优秀年轻干部到泰州市跟岗学习锻炼。运用产教融合、校企合作等方式，用好省属和市属高校、职业技术院校毕业生资源。到</w:t>
      </w:r>
      <w:r>
        <w:rPr>
          <w:color w:val="auto"/>
          <w:highlight w:val="none"/>
        </w:rPr>
        <w:t>2025年，全区人才资源总量达到5000人，新增高技能人才100名，吸引150名学子留南来南创新创业。</w:t>
      </w:r>
    </w:p>
    <w:p w14:paraId="4233A7CF">
      <w:pPr>
        <w:ind w:firstLine="560"/>
        <w:rPr>
          <w:color w:val="auto"/>
          <w:highlight w:val="none"/>
        </w:rPr>
      </w:pPr>
      <w:r>
        <w:rPr>
          <w:rFonts w:hint="eastAsia"/>
          <w:color w:val="auto"/>
          <w:highlight w:val="none"/>
        </w:rPr>
        <w:t>4.加大引进外来优质投资项目</w:t>
      </w:r>
    </w:p>
    <w:p w14:paraId="1527FED9">
      <w:pPr>
        <w:ind w:firstLine="560"/>
        <w:rPr>
          <w:color w:val="auto"/>
          <w:highlight w:val="none"/>
        </w:rPr>
      </w:pPr>
      <w:r>
        <w:rPr>
          <w:rFonts w:hint="eastAsia"/>
          <w:color w:val="auto"/>
          <w:highlight w:val="none"/>
        </w:rPr>
        <w:t>深入开展“项目建设落实年”活动。聚焦“五大安全”战略和省十五项重大工程，紧盯吃透上级政策资金支持方向，结合我区资源、区位、产业、生态、红色优势，梳理建立全区“三个清单”（即：若干重大工程项目清单、亿元以上建设项目清单、中央资金项目清单），重点围绕矿产资源开发、钢铁深加工及上下游配套、旅游基础设施提升、城市更新、重点基础设施和公共服务设施完善等方面，再谋划建设一批高质量项目。常态化储备项目</w:t>
      </w:r>
      <w:r>
        <w:rPr>
          <w:color w:val="auto"/>
          <w:highlight w:val="none"/>
        </w:rPr>
        <w:t>140</w:t>
      </w:r>
      <w:r>
        <w:rPr>
          <w:rFonts w:hint="eastAsia"/>
          <w:color w:val="auto"/>
          <w:highlight w:val="none"/>
        </w:rPr>
        <w:t>个以上，每年获得上级政策支持项目</w:t>
      </w:r>
      <w:r>
        <w:rPr>
          <w:color w:val="auto"/>
          <w:highlight w:val="none"/>
        </w:rPr>
        <w:t>6个以上，固定资产投资年均增长</w:t>
      </w:r>
      <w:r>
        <w:rPr>
          <w:rFonts w:hint="eastAsia"/>
          <w:color w:val="auto"/>
          <w:highlight w:val="none"/>
        </w:rPr>
        <w:t>15</w:t>
      </w:r>
      <w:r>
        <w:rPr>
          <w:color w:val="auto"/>
          <w:highlight w:val="none"/>
        </w:rPr>
        <w:t>%。</w:t>
      </w:r>
    </w:p>
    <w:p w14:paraId="1A06BDE8">
      <w:pPr>
        <w:ind w:firstLine="560"/>
        <w:rPr>
          <w:color w:val="auto"/>
          <w:highlight w:val="none"/>
        </w:rPr>
      </w:pPr>
      <w:r>
        <w:rPr>
          <w:rFonts w:hint="eastAsia"/>
          <w:color w:val="auto"/>
          <w:highlight w:val="none"/>
        </w:rPr>
        <w:t>聚焦重大项目引领。强化各类要素保障，通过政府投入、政策跟进、“基地</w:t>
      </w:r>
      <w:r>
        <w:rPr>
          <w:color w:val="auto"/>
          <w:highlight w:val="none"/>
        </w:rPr>
        <w:t>+基金”运作模式推进开发区标准化厂房建设，进一步降低项目落地周期和建设成本，牢牢把握招商引资的主动权，</w:t>
      </w:r>
      <w:r>
        <w:rPr>
          <w:rFonts w:hint="eastAsia"/>
          <w:color w:val="auto"/>
          <w:highlight w:val="none"/>
        </w:rPr>
        <w:t>加强土地、用能、环境容量、数据等要素支撑和能源、资源保障供给。</w:t>
      </w:r>
      <w:r>
        <w:rPr>
          <w:color w:val="auto"/>
          <w:highlight w:val="none"/>
        </w:rPr>
        <w:t>实现企业互利合作和资源充分配置的发展方式。</w:t>
      </w:r>
      <w:r>
        <w:rPr>
          <w:rFonts w:hint="eastAsia" w:ascii="仿宋" w:hAnsi="仿宋" w:cs="仿宋"/>
          <w:color w:val="auto"/>
          <w:highlight w:val="none"/>
        </w:rPr>
        <w:t>全力推进思山岭铁矿采选、云新矿业地下开采、宏大矿业地下开采、东方硅基50万吨高纯石英砂等项目竣工投产</w:t>
      </w:r>
      <w:r>
        <w:rPr>
          <w:color w:val="auto"/>
          <w:highlight w:val="none"/>
        </w:rPr>
        <w:t>。</w:t>
      </w:r>
      <w:r>
        <w:rPr>
          <w:rFonts w:hint="eastAsia"/>
          <w:color w:val="auto"/>
          <w:highlight w:val="none"/>
        </w:rPr>
        <w:t>加快</w:t>
      </w:r>
      <w:r>
        <w:rPr>
          <w:color w:val="auto"/>
          <w:highlight w:val="none"/>
        </w:rPr>
        <w:t>推进徐家堡铁矿、</w:t>
      </w:r>
      <w:r>
        <w:rPr>
          <w:rFonts w:hint="eastAsia"/>
          <w:color w:val="auto"/>
          <w:highlight w:val="none"/>
        </w:rPr>
        <w:t>东方硅基</w:t>
      </w:r>
      <w:r>
        <w:rPr>
          <w:color w:val="auto"/>
          <w:highlight w:val="none"/>
        </w:rPr>
        <w:t>600万吨高纯石英砂</w:t>
      </w:r>
      <w:r>
        <w:rPr>
          <w:rFonts w:hint="eastAsia"/>
          <w:color w:val="auto"/>
          <w:highlight w:val="none"/>
        </w:rPr>
        <w:t>、星光硅质硅基产业链、</w:t>
      </w:r>
      <w:r>
        <w:rPr>
          <w:color w:val="auto"/>
          <w:highlight w:val="none"/>
        </w:rPr>
        <w:t>龙新矿业铁精粉精选、青云石开发利用等项目落地</w:t>
      </w:r>
      <w:r>
        <w:rPr>
          <w:rFonts w:hint="eastAsia"/>
          <w:color w:val="auto"/>
          <w:highlight w:val="none"/>
        </w:rPr>
        <w:t>开工</w:t>
      </w:r>
      <w:r>
        <w:rPr>
          <w:color w:val="auto"/>
          <w:highlight w:val="none"/>
        </w:rPr>
        <w:t>。</w:t>
      </w:r>
    </w:p>
    <w:p w14:paraId="00255967">
      <w:pPr>
        <w:pStyle w:val="6"/>
        <w:numPr>
          <w:ilvl w:val="0"/>
          <w:numId w:val="1"/>
        </w:numPr>
        <w:ind w:firstLine="560"/>
        <w:rPr>
          <w:rFonts w:ascii="仿宋" w:hAnsi="仿宋" w:cs="仿宋"/>
          <w:color w:val="auto"/>
          <w:highlight w:val="none"/>
        </w:rPr>
      </w:pPr>
      <w:r>
        <w:rPr>
          <w:rFonts w:hint="eastAsia" w:ascii="仿宋" w:hAnsi="仿宋" w:cs="仿宋"/>
          <w:color w:val="auto"/>
          <w:highlight w:val="none"/>
        </w:rPr>
        <w:t>开展央地合作提升行动</w:t>
      </w:r>
    </w:p>
    <w:p w14:paraId="4DFF5B7C">
      <w:pPr>
        <w:pStyle w:val="6"/>
        <w:ind w:firstLine="560"/>
        <w:rPr>
          <w:rFonts w:ascii="仿宋" w:hAnsi="仿宋" w:cs="仿宋"/>
          <w:color w:val="auto"/>
          <w:highlight w:val="none"/>
        </w:rPr>
      </w:pPr>
      <w:r>
        <w:rPr>
          <w:rFonts w:hint="eastAsia" w:ascii="仿宋" w:hAnsi="仿宋" w:cs="仿宋"/>
          <w:color w:val="auto"/>
          <w:highlight w:val="none"/>
        </w:rPr>
        <w:t>加强央地战略融合，建立合作工作机制，明确重大服务事项清单，共同谋划推进一批合作项目。实施央企招商专项行动，</w:t>
      </w:r>
      <w:r>
        <w:rPr>
          <w:rFonts w:hint="eastAsia" w:ascii="仿宋" w:hAnsi="仿宋" w:cs="仿宋"/>
          <w:color w:val="auto"/>
          <w:szCs w:val="28"/>
          <w:highlight w:val="none"/>
          <w:shd w:val="clear" w:color="auto" w:fill="FFFFFF"/>
        </w:rPr>
        <w:t>着力拓宽央地合作领域、深化合作内涵、提升合作层次，实现央地互利共赢发展</w:t>
      </w:r>
      <w:r>
        <w:rPr>
          <w:rFonts w:hint="eastAsia" w:ascii="仿宋" w:hAnsi="仿宋" w:cs="仿宋"/>
          <w:color w:val="auto"/>
          <w:highlight w:val="none"/>
        </w:rPr>
        <w:t>，推进本钢徐家堡铁矿</w:t>
      </w:r>
      <w:r>
        <w:rPr>
          <w:rFonts w:hint="eastAsia" w:ascii="仿宋" w:hAnsi="仿宋" w:cs="仿宋"/>
          <w:color w:val="auto"/>
          <w:szCs w:val="28"/>
          <w:highlight w:val="none"/>
        </w:rPr>
        <w:t>、</w:t>
      </w:r>
      <w:r>
        <w:rPr>
          <w:rFonts w:hint="eastAsia" w:ascii="仿宋" w:hAnsi="仿宋" w:cs="Times New Roman"/>
          <w:color w:val="auto"/>
          <w:szCs w:val="28"/>
          <w:highlight w:val="none"/>
        </w:rPr>
        <w:t>南芬绿色矿山选矿提效及智能化改造、</w:t>
      </w:r>
      <w:r>
        <w:rPr>
          <w:rFonts w:hint="eastAsia" w:ascii="仿宋" w:hAnsi="仿宋" w:cs="仿宋"/>
          <w:color w:val="auto"/>
          <w:szCs w:val="28"/>
          <w:highlight w:val="none"/>
        </w:rPr>
        <w:t>国电投风电等重点项目建设。</w:t>
      </w:r>
      <w:r>
        <w:rPr>
          <w:rFonts w:hint="eastAsia" w:ascii="仿宋" w:hAnsi="仿宋" w:cs="仿宋"/>
          <w:color w:val="auto"/>
          <w:szCs w:val="28"/>
          <w:highlight w:val="none"/>
          <w:shd w:val="clear" w:color="auto" w:fill="FFFFFF"/>
        </w:rPr>
        <w:t>推动南芬与驻南央企在产业协同发展、结构转型升级、关键核心技术、现代企业制度、人才队伍建设等方面实现合作常态化、服务常态化。在央企带动下，地方经济加快转型升级、总量提升，发展活力和创新力显著增强；在地方支持下，驻南央企产业优化、竞争力加强，在重要行业和关键领域形成领先优势；实现央地资源共建共享共荣，打造全国具有影响力的央地融合发展典范，区域性综合实力和竞争力显著提升。产业链配套延伸取得新突破。大型央企在本地产业链、供应链龙头作用更加凸显，以大型央企为主体、链条企业众星拱月的产业集群生态圈基本形成。</w:t>
      </w:r>
      <w:r>
        <w:rPr>
          <w:rFonts w:hint="eastAsia" w:ascii="仿宋" w:hAnsi="仿宋" w:cs="仿宋"/>
          <w:color w:val="auto"/>
          <w:highlight w:val="none"/>
        </w:rPr>
        <w:t>积极争取钢铁、新材料、旅游等领域头部企业优质资源在本溪布局发展。</w:t>
      </w:r>
      <w:r>
        <w:rPr>
          <w:rFonts w:hint="eastAsia" w:ascii="仿宋" w:hAnsi="仿宋" w:cs="仿宋"/>
          <w:color w:val="auto"/>
          <w:szCs w:val="28"/>
          <w:highlight w:val="none"/>
          <w:shd w:val="clear" w:color="auto" w:fill="FFFFFF"/>
        </w:rPr>
        <w:t>到2025年底，</w:t>
      </w:r>
      <w:r>
        <w:rPr>
          <w:rFonts w:hint="eastAsia" w:ascii="仿宋" w:hAnsi="仿宋" w:cs="仿宋"/>
          <w:color w:val="auto"/>
          <w:szCs w:val="28"/>
          <w:highlight w:val="none"/>
        </w:rPr>
        <w:t>推</w:t>
      </w:r>
      <w:r>
        <w:rPr>
          <w:rFonts w:hint="eastAsia" w:ascii="仿宋" w:hAnsi="仿宋" w:cs="仿宋"/>
          <w:color w:val="auto"/>
          <w:highlight w:val="none"/>
        </w:rPr>
        <w:t>动4个以上总投资60亿元的项目落地。</w:t>
      </w:r>
    </w:p>
    <w:tbl>
      <w:tblPr>
        <w:tblStyle w:val="1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14:paraId="5EAD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8505" w:type="dxa"/>
            <w:tcBorders>
              <w:bottom w:val="single" w:color="auto" w:sz="4" w:space="0"/>
            </w:tcBorders>
            <w:vAlign w:val="center"/>
          </w:tcPr>
          <w:p w14:paraId="6D606286">
            <w:pPr>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专栏2  工业强区重点项目（</w:t>
            </w:r>
            <w:r>
              <w:rPr>
                <w:rFonts w:hint="eastAsia" w:asciiTheme="minorEastAsia" w:hAnsiTheme="minorEastAsia" w:eastAsiaTheme="minorEastAsia"/>
                <w:b/>
                <w:color w:val="auto"/>
                <w:sz w:val="21"/>
                <w:szCs w:val="21"/>
                <w:highlight w:val="none"/>
                <w:lang w:val="en-US" w:eastAsia="zh-CN"/>
              </w:rPr>
              <w:t>77</w:t>
            </w:r>
            <w:r>
              <w:rPr>
                <w:rFonts w:hint="eastAsia" w:asciiTheme="minorEastAsia" w:hAnsiTheme="minorEastAsia" w:eastAsiaTheme="minorEastAsia"/>
                <w:b/>
                <w:color w:val="auto"/>
                <w:sz w:val="21"/>
                <w:szCs w:val="21"/>
                <w:highlight w:val="none"/>
              </w:rPr>
              <w:t>个）</w:t>
            </w:r>
          </w:p>
        </w:tc>
      </w:tr>
      <w:tr w14:paraId="6960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05" w:type="dxa"/>
          </w:tcPr>
          <w:p w14:paraId="3E3401C5">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采选铸造项目：本溪龙新矿业有限公司思山岭街道办事处铁矿采选工程、</w:t>
            </w:r>
            <w:r>
              <w:rPr>
                <w:rFonts w:asciiTheme="minorEastAsia" w:hAnsiTheme="minorEastAsia" w:eastAsiaTheme="minorEastAsia"/>
                <w:color w:val="auto"/>
                <w:sz w:val="21"/>
                <w:szCs w:val="21"/>
                <w:highlight w:val="none"/>
              </w:rPr>
              <w:t>100万吨无缝变径管（短流程铸造）一期项目、本溪昌泰石材有限公司矿山改扩建项目、</w:t>
            </w:r>
            <w:r>
              <w:rPr>
                <w:rFonts w:hint="eastAsia" w:asciiTheme="minorEastAsia" w:hAnsiTheme="minorEastAsia" w:eastAsiaTheme="minorEastAsia"/>
                <w:color w:val="auto"/>
                <w:sz w:val="21"/>
                <w:szCs w:val="21"/>
                <w:highlight w:val="none"/>
              </w:rPr>
              <w:t>本溪宏大矿业有限公司选矿厂改扩建项目、本溪市枫叶矿产有限公司矿山改扩建项目、本溪思山岭云新矿业有限公司尾矿库加高扩容项目、本溪中泰矿业有限公司新建选矿项目、轨道交通铸件项目、宏大矿业地下开采项目、久铖机械制造（天津）高铁制动闸片项目、辽宁高端金属材料有限公司新建铸铁机项目、辽宁顺安航空航天配件制造项目、辽宁顺安消防科技有限公司年产</w:t>
            </w:r>
            <w:r>
              <w:rPr>
                <w:rFonts w:asciiTheme="minorEastAsia" w:hAnsiTheme="minorEastAsia" w:eastAsiaTheme="minorEastAsia"/>
                <w:color w:val="auto"/>
                <w:sz w:val="21"/>
                <w:szCs w:val="21"/>
                <w:highlight w:val="none"/>
              </w:rPr>
              <w:t>20万吨铸件、龙新矿业精细化工程、云新矿业地下开采项目、年产10万吨风电铸件项目、年产20万吨矿山配件生产项目、年产5万吨纳米轧辊项目、年产5万吨汽车类铸件项目、思山岭云新矿业铁矿开发项目、中小型球磨铁轧辊铸造生产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辽宁东铄高线速度超硬合金带锯条项目、辽宁众达轧辊有限公司热处理炉能力提升项目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本溪中泰矿业有限公司新建选矿项目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本溪双鑫矿业年产60万吨熔剂石灰石项目</w:t>
            </w:r>
            <w:r>
              <w:rPr>
                <w:rFonts w:hint="eastAsia" w:asciiTheme="minorEastAsia" w:hAnsiTheme="minorEastAsia" w:eastAsiaTheme="minorEastAsia"/>
                <w:color w:val="auto"/>
                <w:sz w:val="21"/>
                <w:szCs w:val="21"/>
                <w:highlight w:val="none"/>
                <w:lang w:eastAsia="zh-CN"/>
              </w:rPr>
              <w:t>、柳晶科技年产20万吨覆膜砂项目、下马塘沈家硅石深加工项目、本溪钢铁（集团）有限责任公司南芬徐家堡子铁矿项目</w:t>
            </w:r>
            <w:r>
              <w:rPr>
                <w:rFonts w:hint="eastAsia" w:asciiTheme="minorEastAsia" w:hAnsiTheme="minorEastAsia" w:eastAsiaTheme="minorEastAsia"/>
                <w:color w:val="auto"/>
                <w:sz w:val="21"/>
                <w:szCs w:val="21"/>
                <w:highlight w:val="none"/>
              </w:rPr>
              <w:t>。</w:t>
            </w:r>
          </w:p>
          <w:p w14:paraId="3D53172C">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固废利用项目：本溪东方沈家铁选厂扩建年处理</w:t>
            </w:r>
            <w:r>
              <w:rPr>
                <w:rFonts w:asciiTheme="minorEastAsia" w:hAnsiTheme="minorEastAsia" w:eastAsiaTheme="minorEastAsia"/>
                <w:color w:val="auto"/>
                <w:sz w:val="21"/>
                <w:szCs w:val="21"/>
                <w:highlight w:val="none"/>
              </w:rPr>
              <w:t>180万吨尾矿资源综合回收利用项目、八道沟矿山固废再生资源一期项目、</w:t>
            </w:r>
            <w:r>
              <w:rPr>
                <w:rFonts w:hint="eastAsia" w:asciiTheme="minorEastAsia" w:hAnsiTheme="minorEastAsia" w:eastAsiaTheme="minorEastAsia"/>
                <w:color w:val="auto"/>
                <w:sz w:val="21"/>
                <w:szCs w:val="21"/>
                <w:highlight w:val="none"/>
              </w:rPr>
              <w:t>固废综合利用商品混凝土搅拌站建设项目、聚鑫达机械制造有限公司资源节约循环利用项目、南芬经济开发区固废基地建设项目、小汪沟矿山固废再生资源一期项目、</w:t>
            </w:r>
            <w:r>
              <w:rPr>
                <w:rFonts w:asciiTheme="minorEastAsia" w:hAnsiTheme="minorEastAsia" w:eastAsiaTheme="minorEastAsia"/>
                <w:color w:val="auto"/>
                <w:sz w:val="21"/>
                <w:szCs w:val="21"/>
                <w:highlight w:val="none"/>
              </w:rPr>
              <w:t>本溪玉晶资源综合利用开发有限公司42万m³高精加气混凝土砌块-板材生产线项目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本溪市聚鑫达机械制造有限公司脱硫、除尘环保项目</w:t>
            </w:r>
            <w:r>
              <w:rPr>
                <w:rFonts w:hint="eastAsia" w:asciiTheme="minorEastAsia" w:hAnsiTheme="minorEastAsia" w:eastAsiaTheme="minorEastAsia"/>
                <w:color w:val="auto"/>
                <w:sz w:val="21"/>
                <w:szCs w:val="21"/>
                <w:highlight w:val="none"/>
                <w:lang w:eastAsia="zh-CN"/>
              </w:rPr>
              <w:t>、小汪沟矿山固废再生资源二期项目</w:t>
            </w:r>
            <w:r>
              <w:rPr>
                <w:rFonts w:hint="eastAsia" w:asciiTheme="minorEastAsia" w:hAnsiTheme="minorEastAsia" w:eastAsiaTheme="minorEastAsia"/>
                <w:color w:val="auto"/>
                <w:sz w:val="21"/>
                <w:szCs w:val="21"/>
                <w:highlight w:val="none"/>
              </w:rPr>
              <w:t>。</w:t>
            </w:r>
          </w:p>
          <w:p w14:paraId="3FECF3DB">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新材料项目：本溪富池矿业有限公司方解石矿改扩建项目、本溪市金垛硅业有限公司硅石矿改扩建项目、本溪伟鹏重钙有限公司方解石深加工项目、本溪星光硅质原料有限公司绿色建材标准化厂房建设项目、本溪星光硅质原料有限公司年产</w:t>
            </w:r>
            <w:r>
              <w:rPr>
                <w:rFonts w:asciiTheme="minorEastAsia" w:hAnsiTheme="minorEastAsia" w:eastAsiaTheme="minorEastAsia"/>
                <w:color w:val="auto"/>
                <w:sz w:val="21"/>
                <w:szCs w:val="21"/>
                <w:highlight w:val="none"/>
              </w:rPr>
              <w:t>25万吨高纯石英砂项目、本溪玉晶新材料科技有限公司年产2200万平方米超薄光伏背板玻璃深加工项目、东诚硅石加工扩建项目、东方硅基年产50万吨石英砂项目、联信硅砂年产10万吨覆膜砂项目、辽宁东方硅基新建600万吨/年高纯石英砂加工项目、纳米隐身材料项目、</w:t>
            </w:r>
            <w:r>
              <w:rPr>
                <w:rFonts w:hint="eastAsia" w:asciiTheme="minorEastAsia" w:hAnsiTheme="minorEastAsia" w:eastAsiaTheme="minorEastAsia"/>
                <w:color w:val="auto"/>
                <w:sz w:val="21"/>
                <w:szCs w:val="21"/>
                <w:highlight w:val="none"/>
              </w:rPr>
              <w:t>年产</w:t>
            </w:r>
            <w:r>
              <w:rPr>
                <w:rFonts w:asciiTheme="minorEastAsia" w:hAnsiTheme="minorEastAsia" w:eastAsiaTheme="minorEastAsia"/>
                <w:color w:val="auto"/>
                <w:sz w:val="21"/>
                <w:szCs w:val="21"/>
                <w:highlight w:val="none"/>
              </w:rPr>
              <w:t>3000吨改性沉淀白炭黑项目、年产50万吨砂石骨料项目、年产5万吨超细（活性）碳酸钙项目、年产5万吨的4A分子筛项目、</w:t>
            </w:r>
            <w:r>
              <w:rPr>
                <w:rFonts w:hint="eastAsia" w:asciiTheme="minorEastAsia" w:hAnsiTheme="minorEastAsia" w:eastAsiaTheme="minorEastAsia"/>
                <w:color w:val="auto"/>
                <w:sz w:val="21"/>
                <w:szCs w:val="21"/>
                <w:highlight w:val="none"/>
              </w:rPr>
              <w:t>本溪市和兴新材料科技有限公司硅石加工项目。</w:t>
            </w:r>
          </w:p>
          <w:p w14:paraId="38A5C178">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技术改造</w:t>
            </w:r>
            <w:r>
              <w:rPr>
                <w:rFonts w:asciiTheme="minorEastAsia" w:hAnsiTheme="minorEastAsia" w:eastAsiaTheme="minorEastAsia"/>
                <w:color w:val="auto"/>
                <w:sz w:val="21"/>
                <w:szCs w:val="21"/>
                <w:highlight w:val="none"/>
              </w:rPr>
              <w:t>项目</w:t>
            </w:r>
            <w:r>
              <w:rPr>
                <w:rFonts w:hint="eastAsia" w:asciiTheme="minorEastAsia" w:hAnsiTheme="minorEastAsia" w:eastAsiaTheme="minorEastAsia"/>
                <w:color w:val="auto"/>
                <w:sz w:val="21"/>
                <w:szCs w:val="21"/>
                <w:highlight w:val="none"/>
              </w:rPr>
              <w:t>：本溪市聚鑫达机械制造有限责任公司节能减排综合改造项目、兴盛</w:t>
            </w:r>
            <w:r>
              <w:rPr>
                <w:rFonts w:asciiTheme="minorEastAsia" w:hAnsiTheme="minorEastAsia" w:eastAsiaTheme="minorEastAsia"/>
                <w:color w:val="auto"/>
                <w:sz w:val="21"/>
                <w:szCs w:val="21"/>
                <w:highlight w:val="none"/>
              </w:rPr>
              <w:t>128高炉升级改造项目、</w:t>
            </w:r>
            <w:r>
              <w:rPr>
                <w:rFonts w:hint="eastAsia" w:asciiTheme="minorEastAsia" w:hAnsiTheme="minorEastAsia" w:eastAsiaTheme="minorEastAsia"/>
                <w:color w:val="auto"/>
                <w:sz w:val="21"/>
                <w:szCs w:val="21"/>
                <w:highlight w:val="none"/>
              </w:rPr>
              <w:t>本溪市南芬区红运矿业选矿设备技术改造项目、</w:t>
            </w:r>
            <w:r>
              <w:rPr>
                <w:rFonts w:asciiTheme="minorEastAsia" w:hAnsiTheme="minorEastAsia" w:eastAsiaTheme="minorEastAsia"/>
                <w:color w:val="auto"/>
                <w:sz w:val="21"/>
                <w:szCs w:val="21"/>
                <w:highlight w:val="none"/>
              </w:rPr>
              <w:t>辽</w:t>
            </w:r>
            <w:r>
              <w:rPr>
                <w:rFonts w:hint="eastAsia" w:asciiTheme="minorEastAsia" w:hAnsiTheme="minorEastAsia" w:eastAsiaTheme="minorEastAsia"/>
                <w:color w:val="auto"/>
                <w:sz w:val="21"/>
                <w:szCs w:val="21"/>
                <w:highlight w:val="none"/>
              </w:rPr>
              <w:t>宁高端金属材料有限公司环保料棚建设项目、本溪星辉矿业有限公司技改项目、聚鑫达环保技改项目、聚鑫达机械制造有限公司麦尔兹窑技改项目、聚鑫达节能减排改造项目、聚鑫达矿业选厂破碎线技改项目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本溪市聚鑫达机械制造有限公司冷却壁技术改造项目</w:t>
            </w:r>
            <w:r>
              <w:rPr>
                <w:rFonts w:hint="eastAsia" w:asciiTheme="minorEastAsia" w:hAnsiTheme="minorEastAsia" w:eastAsiaTheme="minorEastAsia"/>
                <w:color w:val="auto"/>
                <w:sz w:val="21"/>
                <w:szCs w:val="21"/>
                <w:highlight w:val="none"/>
                <w:lang w:eastAsia="zh-CN"/>
              </w:rPr>
              <w:t>、本溪天慧矿业有限公司石英精砂选矿工程技术改造项目、本溪市中泰矿业有限公司智能化系统技术改造项目</w:t>
            </w:r>
            <w:r>
              <w:rPr>
                <w:rFonts w:hint="eastAsia" w:asciiTheme="minorEastAsia" w:hAnsiTheme="minorEastAsia" w:eastAsiaTheme="minorEastAsia"/>
                <w:color w:val="auto"/>
                <w:sz w:val="21"/>
                <w:szCs w:val="21"/>
                <w:highlight w:val="none"/>
              </w:rPr>
              <w:t>。</w:t>
            </w:r>
          </w:p>
          <w:p w14:paraId="4C92A467">
            <w:pPr>
              <w:ind w:firstLine="420"/>
              <w:rPr>
                <w:rFonts w:eastAsia="宋体"/>
                <w:color w:val="auto"/>
                <w:sz w:val="21"/>
                <w:szCs w:val="21"/>
                <w:highlight w:val="none"/>
              </w:rPr>
            </w:pPr>
            <w:r>
              <w:rPr>
                <w:rFonts w:hint="eastAsia" w:asciiTheme="minorEastAsia" w:hAnsiTheme="minorEastAsia" w:eastAsiaTheme="minorEastAsia"/>
                <w:color w:val="auto"/>
                <w:sz w:val="21"/>
                <w:szCs w:val="21"/>
                <w:highlight w:val="none"/>
              </w:rPr>
              <w:t>新兴产业项目：创泽国际人工智能产业园项目、南芬经济开发区</w:t>
            </w:r>
            <w:r>
              <w:rPr>
                <w:rFonts w:asciiTheme="minorEastAsia" w:hAnsiTheme="minorEastAsia" w:eastAsiaTheme="minorEastAsia"/>
                <w:color w:val="auto"/>
                <w:sz w:val="21"/>
                <w:szCs w:val="21"/>
                <w:highlight w:val="none"/>
              </w:rPr>
              <w:t>5G工业互联网应用项目、南芬经济开发区智慧物流园项目、南芬徐家堡铁矿智慧指挥集控系统工程</w:t>
            </w:r>
            <w:r>
              <w:rPr>
                <w:rFonts w:hint="eastAsia" w:asciiTheme="minorEastAsia" w:hAnsiTheme="minorEastAsia" w:eastAsiaTheme="minorEastAsia"/>
                <w:color w:val="auto"/>
                <w:sz w:val="21"/>
                <w:szCs w:val="21"/>
                <w:highlight w:val="none"/>
              </w:rPr>
              <w:t>、</w:t>
            </w:r>
            <w:r>
              <w:rPr>
                <w:rFonts w:hint="eastAsia" w:eastAsia="宋体"/>
                <w:color w:val="auto"/>
                <w:sz w:val="21"/>
                <w:szCs w:val="21"/>
                <w:highlight w:val="none"/>
              </w:rPr>
              <w:t>本溪龙新矿业有限公司应急管理数控调度指挥系统建设项目</w:t>
            </w:r>
          </w:p>
          <w:p w14:paraId="02B914CF">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其他项目：高铁水泥枕木生产线项目、冷却壁生产项目、矿山机械设备备件加工及高压胶管总成项目、辽宁顺安消防灭火器制造项目、下马塘三选厂搬迁改造项目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辽宁东铄纺熔无纺布项目</w:t>
            </w:r>
            <w:r>
              <w:rPr>
                <w:rFonts w:hint="eastAsia" w:asciiTheme="minorEastAsia" w:hAnsiTheme="minorEastAsia" w:eastAsiaTheme="minorEastAsia"/>
                <w:color w:val="auto"/>
                <w:sz w:val="21"/>
                <w:szCs w:val="21"/>
                <w:highlight w:val="none"/>
                <w:lang w:eastAsia="zh-CN"/>
              </w:rPr>
              <w:t>、5G智慧南芬经济技术开发区综合</w:t>
            </w:r>
            <w:r>
              <w:rPr>
                <w:rFonts w:hint="eastAsia" w:asciiTheme="minorEastAsia" w:hAnsiTheme="minorEastAsia" w:eastAsiaTheme="minorEastAsia"/>
                <w:color w:val="auto"/>
                <w:sz w:val="21"/>
                <w:szCs w:val="21"/>
                <w:highlight w:val="none"/>
                <w:lang w:val="en-US" w:eastAsia="zh-CN"/>
              </w:rPr>
              <w:t>监</w:t>
            </w:r>
            <w:r>
              <w:rPr>
                <w:rFonts w:hint="eastAsia" w:asciiTheme="minorEastAsia" w:hAnsiTheme="minorEastAsia" w:eastAsiaTheme="minorEastAsia"/>
                <w:color w:val="auto"/>
                <w:sz w:val="21"/>
                <w:szCs w:val="21"/>
                <w:highlight w:val="none"/>
                <w:lang w:eastAsia="zh-CN"/>
              </w:rPr>
              <w:t>测、智慧指挥平台建设项目（</w:t>
            </w:r>
            <w:r>
              <w:rPr>
                <w:rFonts w:hint="eastAsia" w:asciiTheme="minorEastAsia" w:hAnsiTheme="minorEastAsia" w:eastAsiaTheme="minorEastAsia"/>
                <w:color w:val="auto"/>
                <w:sz w:val="21"/>
                <w:szCs w:val="21"/>
                <w:highlight w:val="none"/>
                <w:lang w:val="en-US" w:eastAsia="zh-CN"/>
              </w:rPr>
              <w:t>南芬区新型智慧城市建设项目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w:t>
            </w:r>
          </w:p>
        </w:tc>
      </w:tr>
    </w:tbl>
    <w:p w14:paraId="2730A797">
      <w:pPr>
        <w:spacing w:line="240" w:lineRule="auto"/>
        <w:ind w:firstLine="0" w:firstLineChars="0"/>
        <w:rPr>
          <w:rFonts w:eastAsia="仿宋_GB2312"/>
          <w:b/>
          <w:color w:val="auto"/>
          <w:sz w:val="32"/>
          <w:highlight w:val="none"/>
        </w:rPr>
      </w:pPr>
      <w:r>
        <w:rPr>
          <w:color w:val="auto"/>
          <w:highlight w:val="none"/>
        </w:rPr>
        <w:br w:type="page"/>
      </w:r>
    </w:p>
    <w:p w14:paraId="744FD830">
      <w:pPr>
        <w:pStyle w:val="3"/>
        <w:ind w:firstLine="643"/>
        <w:rPr>
          <w:color w:val="auto"/>
          <w:kern w:val="0"/>
          <w:sz w:val="24"/>
          <w:szCs w:val="24"/>
          <w:highlight w:val="none"/>
        </w:rPr>
      </w:pPr>
      <w:bookmarkStart w:id="20" w:name="_Toc143701965"/>
      <w:r>
        <w:rPr>
          <w:color w:val="auto"/>
          <w:highlight w:val="none"/>
        </w:rPr>
        <w:t>第</w:t>
      </w:r>
      <w:r>
        <w:rPr>
          <w:rFonts w:hint="eastAsia"/>
          <w:color w:val="auto"/>
          <w:highlight w:val="none"/>
        </w:rPr>
        <w:t>五</w:t>
      </w:r>
      <w:r>
        <w:rPr>
          <w:color w:val="auto"/>
          <w:highlight w:val="none"/>
        </w:rPr>
        <w:t>章</w:t>
      </w:r>
      <w:r>
        <w:rPr>
          <w:rFonts w:hint="eastAsia"/>
          <w:color w:val="auto"/>
          <w:highlight w:val="none"/>
        </w:rPr>
        <w:t xml:space="preserve"> 新能源篇</w:t>
      </w:r>
      <w:bookmarkEnd w:id="20"/>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1CBC3A1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447139B3">
            <w:pPr>
              <w:pStyle w:val="8"/>
              <w:ind w:firstLine="480"/>
              <w:rPr>
                <w:color w:val="auto"/>
                <w:sz w:val="24"/>
                <w:highlight w:val="none"/>
              </w:rPr>
            </w:pPr>
            <w:r>
              <w:rPr>
                <w:color w:val="auto"/>
                <w:sz w:val="24"/>
                <w:highlight w:val="none"/>
              </w:rPr>
              <w:t>政策依据</w:t>
            </w:r>
            <w:r>
              <w:rPr>
                <w:rFonts w:hint="eastAsia"/>
                <w:color w:val="auto"/>
                <w:sz w:val="24"/>
                <w:highlight w:val="none"/>
              </w:rPr>
              <w:t>：《中华人民共和国节约能源法》《“十四五”现代能源体系规划》、《“十四五”新型储能发展实施方案》</w:t>
            </w:r>
          </w:p>
        </w:tc>
      </w:tr>
      <w:tr w14:paraId="459D18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54FB1FAB">
            <w:pPr>
              <w:pStyle w:val="8"/>
              <w:ind w:firstLine="480"/>
              <w:rPr>
                <w:color w:val="auto"/>
                <w:sz w:val="24"/>
                <w:highlight w:val="none"/>
              </w:rPr>
            </w:pPr>
            <w:r>
              <w:rPr>
                <w:color w:val="auto"/>
                <w:sz w:val="24"/>
                <w:highlight w:val="none"/>
              </w:rPr>
              <w:t>规划主题</w:t>
            </w:r>
            <w:r>
              <w:rPr>
                <w:rFonts w:hint="eastAsia"/>
                <w:color w:val="auto"/>
                <w:sz w:val="24"/>
                <w:highlight w:val="none"/>
              </w:rPr>
              <w:t>：培育新能源产业，推动创新打造南芬亮点</w:t>
            </w:r>
          </w:p>
        </w:tc>
      </w:tr>
      <w:tr w14:paraId="1B27E2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14CE185">
            <w:pPr>
              <w:pStyle w:val="8"/>
              <w:ind w:firstLine="480"/>
              <w:rPr>
                <w:color w:val="auto"/>
                <w:sz w:val="24"/>
                <w:highlight w:val="none"/>
              </w:rPr>
            </w:pPr>
            <w:r>
              <w:rPr>
                <w:color w:val="auto"/>
                <w:sz w:val="24"/>
                <w:highlight w:val="none"/>
              </w:rPr>
              <w:t>规划领域</w:t>
            </w:r>
            <w:r>
              <w:rPr>
                <w:rFonts w:hint="eastAsia"/>
                <w:color w:val="auto"/>
                <w:sz w:val="24"/>
                <w:highlight w:val="none"/>
              </w:rPr>
              <w:t>：新能源、节能降耗</w:t>
            </w:r>
          </w:p>
        </w:tc>
      </w:tr>
      <w:tr w14:paraId="5A20D5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44C2C4E9">
            <w:pPr>
              <w:pStyle w:val="8"/>
              <w:ind w:firstLine="480"/>
              <w:rPr>
                <w:color w:val="auto"/>
                <w:sz w:val="24"/>
                <w:highlight w:val="none"/>
              </w:rPr>
            </w:pPr>
            <w:r>
              <w:rPr>
                <w:color w:val="auto"/>
                <w:sz w:val="24"/>
                <w:highlight w:val="none"/>
              </w:rPr>
              <w:t>规划重点</w:t>
            </w:r>
            <w:r>
              <w:rPr>
                <w:rFonts w:hint="eastAsia"/>
                <w:color w:val="auto"/>
                <w:sz w:val="24"/>
                <w:highlight w:val="none"/>
              </w:rPr>
              <w:t>：风电、光伏、储能、制氢、节水、节能、减排</w:t>
            </w:r>
          </w:p>
        </w:tc>
      </w:tr>
    </w:tbl>
    <w:p w14:paraId="3B17B5A6">
      <w:pPr>
        <w:ind w:firstLine="560"/>
        <w:rPr>
          <w:color w:val="auto"/>
          <w:highlight w:val="none"/>
        </w:rPr>
      </w:pPr>
      <w:r>
        <w:rPr>
          <w:rFonts w:hint="eastAsia"/>
          <w:color w:val="auto"/>
          <w:highlight w:val="none"/>
        </w:rPr>
        <w:t>围绕国内新能源产业发展良好趋势，形成南芬区企业与省内外重点科研院所合作，推动产学研协同创新，合力共为，创新产品、生产管理模式，追踪技术前沿，科学选择发展赛道，努力实现弯道超车，推进南芬区新能源产业跨越式发展。</w:t>
      </w:r>
    </w:p>
    <w:p w14:paraId="51FBC52C">
      <w:pPr>
        <w:pStyle w:val="4"/>
        <w:ind w:firstLine="643"/>
        <w:rPr>
          <w:color w:val="auto"/>
          <w:highlight w:val="none"/>
        </w:rPr>
      </w:pPr>
      <w:bookmarkStart w:id="21" w:name="_Toc143701966"/>
      <w:r>
        <w:rPr>
          <w:color w:val="auto"/>
          <w:highlight w:val="none"/>
        </w:rPr>
        <w:t>第</w:t>
      </w:r>
      <w:r>
        <w:rPr>
          <w:rFonts w:hint="eastAsia"/>
          <w:color w:val="auto"/>
          <w:highlight w:val="none"/>
        </w:rPr>
        <w:t>一</w:t>
      </w:r>
      <w:r>
        <w:rPr>
          <w:color w:val="auto"/>
          <w:highlight w:val="none"/>
        </w:rPr>
        <w:t>节</w:t>
      </w:r>
      <w:r>
        <w:rPr>
          <w:rFonts w:hint="eastAsia"/>
          <w:color w:val="auto"/>
          <w:highlight w:val="none"/>
        </w:rPr>
        <w:t xml:space="preserve"> 大力扶持发展新能源产业</w:t>
      </w:r>
      <w:bookmarkEnd w:id="21"/>
    </w:p>
    <w:p w14:paraId="4D662F7E">
      <w:pPr>
        <w:ind w:firstLine="560"/>
        <w:rPr>
          <w:color w:val="auto"/>
          <w:highlight w:val="none"/>
        </w:rPr>
      </w:pPr>
      <w:r>
        <w:rPr>
          <w:rFonts w:hint="eastAsia"/>
          <w:color w:val="auto"/>
          <w:highlight w:val="none"/>
        </w:rPr>
        <w:t>1</w:t>
      </w:r>
      <w:r>
        <w:rPr>
          <w:color w:val="auto"/>
          <w:highlight w:val="none"/>
        </w:rPr>
        <w:t>.</w:t>
      </w:r>
      <w:r>
        <w:rPr>
          <w:rFonts w:hint="eastAsia"/>
          <w:color w:val="auto"/>
          <w:highlight w:val="none"/>
        </w:rPr>
        <w:t>引入风电光伏储能企业</w:t>
      </w:r>
    </w:p>
    <w:p w14:paraId="3B7C1E3B">
      <w:pPr>
        <w:ind w:firstLine="560"/>
        <w:rPr>
          <w:color w:val="auto"/>
          <w:highlight w:val="none"/>
        </w:rPr>
      </w:pPr>
      <w:r>
        <w:rPr>
          <w:rFonts w:hint="eastAsia"/>
          <w:color w:val="auto"/>
          <w:highlight w:val="none"/>
        </w:rPr>
        <w:t>加强对风光发电企业的引进，吸引更多新能源企业落户南芬区，充分发挥清洁能源优势，拓宽南芬区产业发展链条，推动清洁能源产业尽快做大做强，形成南芬区强劲发展动能，打造“风、光、储一体化”的</w:t>
      </w:r>
      <w:r>
        <w:rPr>
          <w:color w:val="auto"/>
          <w:highlight w:val="none"/>
        </w:rPr>
        <w:t>产业局面</w:t>
      </w:r>
      <w:r>
        <w:rPr>
          <w:rFonts w:hint="eastAsia"/>
          <w:color w:val="auto"/>
          <w:highlight w:val="none"/>
        </w:rPr>
        <w:t>。</w:t>
      </w:r>
      <w:r>
        <w:rPr>
          <w:color w:val="auto"/>
          <w:highlight w:val="none"/>
        </w:rPr>
        <w:t>依托本地清洁能源电力优势，逐步提高利用风电光伏等清洁能源电解制氢比例，努力打造“光、氢、储、运、车”模式零碳闭环产业链项目，形成具有影响力的新能源示范基地。</w:t>
      </w:r>
    </w:p>
    <w:p w14:paraId="7BCC8B82">
      <w:pPr>
        <w:ind w:firstLine="560"/>
        <w:rPr>
          <w:color w:val="auto"/>
          <w:highlight w:val="none"/>
        </w:rPr>
      </w:pPr>
      <w:r>
        <w:rPr>
          <w:rFonts w:hint="eastAsia"/>
          <w:color w:val="auto"/>
          <w:highlight w:val="none"/>
        </w:rPr>
        <w:t>2</w:t>
      </w:r>
      <w:r>
        <w:rPr>
          <w:color w:val="auto"/>
          <w:highlight w:val="none"/>
        </w:rPr>
        <w:t>.</w:t>
      </w:r>
      <w:r>
        <w:rPr>
          <w:rFonts w:hint="eastAsia"/>
          <w:color w:val="auto"/>
          <w:highlight w:val="none"/>
        </w:rPr>
        <w:t>促进新能源企业项目建设</w:t>
      </w:r>
    </w:p>
    <w:p w14:paraId="2EB41FF4">
      <w:pPr>
        <w:ind w:firstLine="560"/>
        <w:rPr>
          <w:color w:val="auto"/>
          <w:highlight w:val="none"/>
        </w:rPr>
      </w:pPr>
      <w:r>
        <w:rPr>
          <w:rFonts w:hint="eastAsia"/>
          <w:color w:val="auto"/>
          <w:highlight w:val="none"/>
        </w:rPr>
        <w:t>加快推进华能集团投资的光伏发电项目，大力推进重点项目建设，夯实南芬区新能源产业发展基础。进一步扩大风电、光伏发电等新能源项目建设范围，为地区经济发展提供清洁、绿色电力。</w:t>
      </w:r>
      <w:r>
        <w:rPr>
          <w:color w:val="auto"/>
          <w:highlight w:val="none"/>
        </w:rPr>
        <w:t>充分发挥光伏发电在电力系统中的调峰、调频、储能等多元功能，配合统筹推动光伏发电与风电光伏基地一体化建设运行，为清洁能源高比例自用和外送提供支撑。</w:t>
      </w:r>
    </w:p>
    <w:p w14:paraId="08A8CDA0">
      <w:pPr>
        <w:pStyle w:val="4"/>
        <w:ind w:firstLine="643"/>
        <w:rPr>
          <w:color w:val="auto"/>
          <w:highlight w:val="none"/>
        </w:rPr>
      </w:pPr>
      <w:bookmarkStart w:id="22" w:name="_Toc143701967"/>
      <w:r>
        <w:rPr>
          <w:color w:val="auto"/>
          <w:highlight w:val="none"/>
        </w:rPr>
        <w:t>第</w:t>
      </w:r>
      <w:r>
        <w:rPr>
          <w:rFonts w:hint="eastAsia"/>
          <w:color w:val="auto"/>
          <w:highlight w:val="none"/>
        </w:rPr>
        <w:t>二</w:t>
      </w:r>
      <w:r>
        <w:rPr>
          <w:color w:val="auto"/>
          <w:highlight w:val="none"/>
        </w:rPr>
        <w:t>节</w:t>
      </w:r>
      <w:r>
        <w:rPr>
          <w:rFonts w:hint="eastAsia"/>
          <w:color w:val="auto"/>
          <w:highlight w:val="none"/>
        </w:rPr>
        <w:t xml:space="preserve"> 推动新能源技术应用普及</w:t>
      </w:r>
      <w:bookmarkEnd w:id="22"/>
    </w:p>
    <w:p w14:paraId="4AF4708E">
      <w:pPr>
        <w:ind w:firstLine="560"/>
        <w:rPr>
          <w:color w:val="auto"/>
          <w:highlight w:val="none"/>
        </w:rPr>
      </w:pPr>
      <w:r>
        <w:rPr>
          <w:color w:val="auto"/>
          <w:highlight w:val="none"/>
        </w:rPr>
        <w:t>1.加快推广新能源技术应用</w:t>
      </w:r>
    </w:p>
    <w:p w14:paraId="54E21F85">
      <w:pPr>
        <w:ind w:firstLine="560"/>
        <w:rPr>
          <w:color w:val="auto"/>
          <w:highlight w:val="none"/>
        </w:rPr>
      </w:pPr>
      <w:r>
        <w:rPr>
          <w:rFonts w:hint="eastAsia"/>
          <w:color w:val="auto"/>
          <w:highlight w:val="none"/>
        </w:rPr>
        <w:t>强化提升“光伏</w:t>
      </w:r>
      <w:r>
        <w:rPr>
          <w:color w:val="auto"/>
          <w:highlight w:val="none"/>
        </w:rPr>
        <w:t>+”发展模式，采取厂矿光伏、建筑光伏、山体光伏等模式进行开发利用。结合新型城镇化建设、老旧城区改造，在公路沿线服务区和边坡、医院、学校、新建楼宇等地，鼓励开发利用分布式可再生能源，推进新能源发电自发自用和就地消纳。鼓励工业企业和工业园区开发利用分布式可再生能源。推进生物质能综合应用。以高效清洁利用为重点，推动农林生物质热电联产、垃圾焚烧发电、沼气直接利用和生物天然气等多种形式的生物质能综合应用。</w:t>
      </w:r>
    </w:p>
    <w:p w14:paraId="131BBECC">
      <w:pPr>
        <w:ind w:firstLine="560"/>
        <w:rPr>
          <w:color w:val="auto"/>
          <w:highlight w:val="none"/>
        </w:rPr>
      </w:pPr>
      <w:r>
        <w:rPr>
          <w:color w:val="auto"/>
          <w:highlight w:val="none"/>
        </w:rPr>
        <w:t>2.</w:t>
      </w:r>
      <w:r>
        <w:rPr>
          <w:rFonts w:hint="eastAsia"/>
          <w:color w:val="auto"/>
          <w:highlight w:val="none"/>
        </w:rPr>
        <w:t>搭建工业园区智慧能源管理平台</w:t>
      </w:r>
    </w:p>
    <w:p w14:paraId="15D6CBE3">
      <w:pPr>
        <w:ind w:firstLine="560"/>
        <w:rPr>
          <w:color w:val="auto"/>
          <w:highlight w:val="none"/>
        </w:rPr>
      </w:pPr>
      <w:r>
        <w:rPr>
          <w:rFonts w:hint="eastAsia"/>
          <w:color w:val="auto"/>
          <w:highlight w:val="none"/>
        </w:rPr>
        <w:t>充分利用智慧化和大数据技术，对南芬区开展清洁能源替代、提高能源利用效率，持续调整改善工业园区能源结构所产生的减污降碳协同效应进行有效的跟踪和评估，对区域各种能源利用进行监控，进而降低区域碳排放。</w:t>
      </w:r>
    </w:p>
    <w:p w14:paraId="04D690D3">
      <w:pPr>
        <w:ind w:firstLine="560"/>
        <w:rPr>
          <w:color w:val="auto"/>
          <w:highlight w:val="none"/>
        </w:rPr>
      </w:pPr>
      <w:r>
        <w:rPr>
          <w:color w:val="auto"/>
          <w:highlight w:val="none"/>
        </w:rPr>
        <w:t>3</w:t>
      </w:r>
      <w:r>
        <w:rPr>
          <w:rFonts w:hint="eastAsia"/>
          <w:color w:val="auto"/>
          <w:highlight w:val="none"/>
        </w:rPr>
        <w:t>.推动新能源交通工具</w:t>
      </w:r>
      <w:r>
        <w:rPr>
          <w:color w:val="auto"/>
          <w:highlight w:val="none"/>
        </w:rPr>
        <w:t>和</w:t>
      </w:r>
      <w:r>
        <w:rPr>
          <w:rFonts w:hint="eastAsia"/>
          <w:color w:val="auto"/>
          <w:highlight w:val="none"/>
        </w:rPr>
        <w:t>充电服务设施普及应用</w:t>
      </w:r>
    </w:p>
    <w:p w14:paraId="3374AEDF">
      <w:pPr>
        <w:ind w:firstLine="560"/>
        <w:rPr>
          <w:color w:val="auto"/>
          <w:highlight w:val="none"/>
        </w:rPr>
      </w:pPr>
      <w:r>
        <w:rPr>
          <w:rFonts w:hint="eastAsia"/>
          <w:color w:val="auto"/>
          <w:highlight w:val="none"/>
        </w:rPr>
        <w:t>积极促进新能源车辆普及和新基建设施建设处于“双快”发展阶段。积极推动政府部门和事业单位购置新能源通勤客车和公务轿车，开展南芬区“公共交通绿色出行”大行动，促进绿色交通节能技术</w:t>
      </w:r>
      <w:r>
        <w:rPr>
          <w:color w:val="auto"/>
          <w:highlight w:val="none"/>
        </w:rPr>
        <w:t>和</w:t>
      </w:r>
      <w:r>
        <w:rPr>
          <w:rFonts w:hint="eastAsia"/>
          <w:color w:val="auto"/>
          <w:highlight w:val="none"/>
        </w:rPr>
        <w:t>交通工具普及应用。要加快推进居住社区充电设施建设安装，优先在企事业单位、商业建筑、交通枢纽、公共停车场等场所配置公共充电设施，并且鼓励单位和工业园区内部充电桩对外开放，进一步提升公共充电供给能力。大幅提高公用充电桩规模时重视布局的优化，精准覆盖布设盲区，尤其是中心城区边缘、外围乡镇等薄弱区域。到</w:t>
      </w:r>
      <w:r>
        <w:rPr>
          <w:color w:val="auto"/>
          <w:highlight w:val="none"/>
        </w:rPr>
        <w:t>2025 年，全市县级节约型机关创建达到80%以上、绿色社区创建达到70% 以上。</w:t>
      </w:r>
    </w:p>
    <w:p w14:paraId="1F53E101">
      <w:pPr>
        <w:pStyle w:val="4"/>
        <w:ind w:firstLine="643"/>
        <w:rPr>
          <w:color w:val="auto"/>
          <w:highlight w:val="none"/>
        </w:rPr>
      </w:pPr>
      <w:bookmarkStart w:id="23" w:name="_Toc143701968"/>
      <w:r>
        <w:rPr>
          <w:color w:val="auto"/>
          <w:highlight w:val="none"/>
        </w:rPr>
        <w:t>第</w:t>
      </w:r>
      <w:r>
        <w:rPr>
          <w:rFonts w:hint="eastAsia"/>
          <w:color w:val="auto"/>
          <w:highlight w:val="none"/>
        </w:rPr>
        <w:t>三</w:t>
      </w:r>
      <w:r>
        <w:rPr>
          <w:color w:val="auto"/>
          <w:highlight w:val="none"/>
        </w:rPr>
        <w:t>节</w:t>
      </w:r>
      <w:r>
        <w:rPr>
          <w:rFonts w:hint="eastAsia"/>
          <w:color w:val="auto"/>
          <w:highlight w:val="none"/>
        </w:rPr>
        <w:t xml:space="preserve"> 发展绿色低碳和节能降耗</w:t>
      </w:r>
      <w:bookmarkEnd w:id="23"/>
    </w:p>
    <w:p w14:paraId="6341B434">
      <w:pPr>
        <w:ind w:firstLine="560"/>
        <w:rPr>
          <w:color w:val="auto"/>
          <w:highlight w:val="none"/>
        </w:rPr>
      </w:pPr>
      <w:r>
        <w:rPr>
          <w:rFonts w:hint="eastAsia"/>
          <w:color w:val="auto"/>
          <w:highlight w:val="none"/>
        </w:rPr>
        <w:t>推进生态环境建设，在绿色低碳发展上实现新突破。把生态文明建设放在突出的战略位置，坚定实施“生态立区”战略，协同推进降碳、减污、扩绿、增长，以绿色发展为重点突破，建设天更蓝、山更绿、水更清、生态环境更美好的美丽家园。</w:t>
      </w:r>
    </w:p>
    <w:p w14:paraId="75C4B461">
      <w:pPr>
        <w:ind w:firstLine="560"/>
        <w:rPr>
          <w:color w:val="auto"/>
          <w:highlight w:val="none"/>
        </w:rPr>
      </w:pPr>
      <w:r>
        <w:rPr>
          <w:color w:val="auto"/>
          <w:highlight w:val="none"/>
        </w:rPr>
        <w:t>1</w:t>
      </w:r>
      <w:r>
        <w:rPr>
          <w:rFonts w:hint="eastAsia"/>
          <w:color w:val="auto"/>
          <w:highlight w:val="none"/>
        </w:rPr>
        <w:t>.推进主导产业绿色低碳发展</w:t>
      </w:r>
    </w:p>
    <w:p w14:paraId="6A34CB21">
      <w:pPr>
        <w:widowControl w:val="0"/>
        <w:spacing w:line="560" w:lineRule="exact"/>
        <w:ind w:firstLine="560"/>
        <w:rPr>
          <w:color w:val="auto"/>
          <w:highlight w:val="none"/>
        </w:rPr>
      </w:pPr>
      <w:r>
        <w:rPr>
          <w:rFonts w:hint="eastAsia"/>
          <w:color w:val="auto"/>
          <w:highlight w:val="none"/>
        </w:rPr>
        <w:t>积极稳妥推进碳达峰碳中和。加快推动绿色低碳发展，大力推广绿色建材技术，实现产业绿色升级。坚持绿色低碳改造与产业升级相结合，推进企业按照“绿色化、智能化、精品化”方向发展。加快能源绿色低碳转型，落实能耗总量和强度调控机制，推动工业、建筑、交通等重点领域节能增效，推动创建绿色工厂。提升工业领域能效水平，加快清洁能源高效替代和普及利用，积极推动光伏、风电集聚发展，加速全域清洁供暖建设步伐，力争分布式光伏发电、节能减排资源综合利用发电、思山岭铁矿绿色智慧矿山等项目尽早落地。推动清洁电力资源优化配置，积极参与全省绿色电力交易。完成聚鑫达环保设施改造，支持东诚硅石、高端金属材料创建“绿色工厂”。</w:t>
      </w:r>
      <w:r>
        <w:rPr>
          <w:rFonts w:hint="eastAsia" w:ascii="仿宋" w:hAnsi="仿宋" w:cs="仿宋"/>
          <w:color w:val="auto"/>
          <w:szCs w:val="28"/>
          <w:highlight w:val="none"/>
        </w:rPr>
        <w:t>绿色发展取得新进展，生产生活方式绿色转型成效显著，生态环境质量持续改善。到2025年，单位GDP能源消耗比2020年下降比例及单位GDP二氧化碳排放量比2020年下降比例均达到市级要求水平。</w:t>
      </w:r>
    </w:p>
    <w:p w14:paraId="5745BA39">
      <w:pPr>
        <w:ind w:firstLine="560"/>
        <w:rPr>
          <w:color w:val="auto"/>
          <w:highlight w:val="none"/>
        </w:rPr>
      </w:pPr>
      <w:r>
        <w:rPr>
          <w:color w:val="auto"/>
          <w:highlight w:val="none"/>
        </w:rPr>
        <w:t>2</w:t>
      </w:r>
      <w:r>
        <w:rPr>
          <w:rFonts w:hint="eastAsia"/>
          <w:color w:val="auto"/>
          <w:highlight w:val="none"/>
        </w:rPr>
        <w:t>.推动能源节约利用</w:t>
      </w:r>
    </w:p>
    <w:p w14:paraId="4AF4D42D">
      <w:pPr>
        <w:ind w:firstLine="560"/>
        <w:rPr>
          <w:color w:val="auto"/>
          <w:highlight w:val="none"/>
        </w:rPr>
      </w:pPr>
      <w:r>
        <w:rPr>
          <w:rFonts w:hint="eastAsia"/>
          <w:color w:val="auto"/>
          <w:highlight w:val="none"/>
        </w:rPr>
        <w:t>控制能源消费总量，加强节能降耗，支持节能低碳产业和新能源、可再生能源发展。推进聚鑫达机械制造有限公司节能减排能源综合再利用发电项目建设，利用高炉煤气、余热资源进行发电，降低国网用电量。推进聚鑫达机械制造有限公司、顺安消防科技有限公司实施铸造短流程工艺，降低辽宁众达机械轧辊有限公司、天宇高炉冷却壁有限公司等铸造企业节约用电量能耗。推进开发区集中供热项目建设，利用园区铸造高炉的余热水集中收集，实现园区集中供暖，进一步节约冬季取暖能耗。</w:t>
      </w:r>
    </w:p>
    <w:p w14:paraId="6E045129">
      <w:pPr>
        <w:ind w:firstLine="560"/>
        <w:rPr>
          <w:color w:val="auto"/>
          <w:highlight w:val="none"/>
        </w:rPr>
      </w:pPr>
    </w:p>
    <w:tbl>
      <w:tblPr>
        <w:tblStyle w:val="1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14:paraId="59CE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05" w:type="dxa"/>
            <w:tcBorders>
              <w:bottom w:val="single" w:color="auto" w:sz="4" w:space="0"/>
            </w:tcBorders>
            <w:vAlign w:val="center"/>
          </w:tcPr>
          <w:p w14:paraId="2F596600">
            <w:pPr>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专栏</w:t>
            </w:r>
            <w:r>
              <w:rPr>
                <w:rFonts w:asciiTheme="minorEastAsia" w:hAnsiTheme="minorEastAsia" w:eastAsiaTheme="minorEastAsia"/>
                <w:b/>
                <w:color w:val="auto"/>
                <w:sz w:val="21"/>
                <w:szCs w:val="21"/>
                <w:highlight w:val="none"/>
              </w:rPr>
              <w:t>3</w:t>
            </w:r>
            <w:r>
              <w:rPr>
                <w:rFonts w:hint="eastAsia" w:asciiTheme="minorEastAsia" w:hAnsiTheme="minorEastAsia" w:eastAsiaTheme="minorEastAsia"/>
                <w:b/>
                <w:color w:val="auto"/>
                <w:sz w:val="21"/>
                <w:szCs w:val="21"/>
                <w:highlight w:val="none"/>
              </w:rPr>
              <w:t xml:space="preserve">  新能源重点项目（</w:t>
            </w:r>
            <w:r>
              <w:rPr>
                <w:rFonts w:hint="eastAsia" w:asciiTheme="minorEastAsia" w:hAnsiTheme="minorEastAsia" w:eastAsiaTheme="minorEastAsia"/>
                <w:b/>
                <w:color w:val="auto"/>
                <w:sz w:val="21"/>
                <w:szCs w:val="21"/>
                <w:highlight w:val="none"/>
                <w:lang w:val="en-US" w:eastAsia="zh-CN"/>
              </w:rPr>
              <w:t>6</w:t>
            </w:r>
            <w:r>
              <w:rPr>
                <w:rFonts w:hint="eastAsia" w:asciiTheme="minorEastAsia" w:hAnsiTheme="minorEastAsia" w:eastAsiaTheme="minorEastAsia"/>
                <w:b/>
                <w:color w:val="auto"/>
                <w:sz w:val="21"/>
                <w:szCs w:val="21"/>
                <w:highlight w:val="none"/>
              </w:rPr>
              <w:t>个）</w:t>
            </w:r>
          </w:p>
        </w:tc>
      </w:tr>
      <w:tr w14:paraId="507D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05" w:type="dxa"/>
          </w:tcPr>
          <w:p w14:paraId="7DB02875">
            <w:pPr>
              <w:ind w:firstLine="42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国家电投有限公司</w:t>
            </w:r>
            <w:r>
              <w:rPr>
                <w:rFonts w:hint="eastAsia" w:asciiTheme="minorEastAsia" w:hAnsiTheme="minorEastAsia" w:eastAsiaTheme="minorEastAsia"/>
                <w:color w:val="auto"/>
                <w:sz w:val="21"/>
                <w:szCs w:val="21"/>
                <w:highlight w:val="none"/>
              </w:rPr>
              <w:t>利用本钢闲置区域建设风电项目</w:t>
            </w:r>
            <w:r>
              <w:rPr>
                <w:rFonts w:asciiTheme="minorEastAsia" w:hAnsiTheme="minorEastAsia" w:eastAsiaTheme="minorEastAsia"/>
                <w:color w:val="auto"/>
                <w:sz w:val="21"/>
                <w:szCs w:val="21"/>
                <w:highlight w:val="none"/>
              </w:rPr>
              <w:t>、哈尔滨九州集团</w:t>
            </w:r>
            <w:r>
              <w:rPr>
                <w:rFonts w:hint="eastAsia" w:asciiTheme="minorEastAsia" w:hAnsiTheme="minorEastAsia" w:eastAsiaTheme="minorEastAsia"/>
                <w:color w:val="auto"/>
                <w:sz w:val="21"/>
                <w:szCs w:val="21"/>
                <w:highlight w:val="none"/>
              </w:rPr>
              <w:t>风电项目</w:t>
            </w:r>
            <w:r>
              <w:rPr>
                <w:rFonts w:asciiTheme="minorEastAsia" w:hAnsiTheme="minorEastAsia" w:eastAsiaTheme="minorEastAsia"/>
                <w:color w:val="auto"/>
                <w:sz w:val="21"/>
                <w:szCs w:val="21"/>
                <w:highlight w:val="none"/>
              </w:rPr>
              <w:t>、</w:t>
            </w:r>
            <w:r>
              <w:rPr>
                <w:rFonts w:hint="eastAsia" w:eastAsia="宋体"/>
                <w:color w:val="auto"/>
                <w:sz w:val="21"/>
                <w:szCs w:val="21"/>
                <w:highlight w:val="none"/>
              </w:rPr>
              <w:t>华能本溪南芬政府权属楼宇屋顶分布式光伏发电项目</w:t>
            </w:r>
            <w:r>
              <w:rPr>
                <w:rFonts w:asciiTheme="minorEastAsia" w:hAnsiTheme="minorEastAsia" w:eastAsiaTheme="minorEastAsia"/>
                <w:color w:val="auto"/>
                <w:sz w:val="21"/>
                <w:szCs w:val="21"/>
                <w:highlight w:val="none"/>
              </w:rPr>
              <w:t>、</w:t>
            </w:r>
            <w:r>
              <w:rPr>
                <w:rFonts w:hint="eastAsia" w:eastAsia="宋体"/>
                <w:color w:val="auto"/>
                <w:sz w:val="21"/>
                <w:szCs w:val="21"/>
                <w:highlight w:val="none"/>
              </w:rPr>
              <w:t>华能南芬经开区标准化厂房屋顶光伏发电项目、</w:t>
            </w:r>
            <w:r>
              <w:rPr>
                <w:rFonts w:asciiTheme="minorEastAsia" w:hAnsiTheme="minorEastAsia" w:eastAsiaTheme="minorEastAsia"/>
                <w:color w:val="auto"/>
                <w:sz w:val="21"/>
                <w:szCs w:val="21"/>
                <w:highlight w:val="none"/>
              </w:rPr>
              <w:t>南芬区城市智慧充电站（充电桩）项目、南芬区分布式光伏发电项目</w:t>
            </w:r>
          </w:p>
        </w:tc>
      </w:tr>
    </w:tbl>
    <w:p w14:paraId="7E69F502">
      <w:pPr>
        <w:ind w:firstLine="560"/>
        <w:rPr>
          <w:color w:val="auto"/>
          <w:highlight w:val="none"/>
        </w:rPr>
      </w:pPr>
      <w:r>
        <w:rPr>
          <w:color w:val="auto"/>
          <w:highlight w:val="none"/>
        </w:rPr>
        <w:br w:type="page"/>
      </w:r>
    </w:p>
    <w:p w14:paraId="4F978249">
      <w:pPr>
        <w:pStyle w:val="3"/>
        <w:ind w:firstLine="643"/>
        <w:rPr>
          <w:color w:val="auto"/>
          <w:kern w:val="0"/>
          <w:sz w:val="24"/>
          <w:szCs w:val="24"/>
          <w:highlight w:val="none"/>
        </w:rPr>
      </w:pPr>
      <w:bookmarkStart w:id="24" w:name="_Toc143701969"/>
      <w:r>
        <w:rPr>
          <w:color w:val="auto"/>
          <w:highlight w:val="none"/>
        </w:rPr>
        <w:t>第</w:t>
      </w:r>
      <w:r>
        <w:rPr>
          <w:rFonts w:hint="eastAsia"/>
          <w:color w:val="auto"/>
          <w:highlight w:val="none"/>
        </w:rPr>
        <w:t>六</w:t>
      </w:r>
      <w:r>
        <w:rPr>
          <w:color w:val="auto"/>
          <w:highlight w:val="none"/>
        </w:rPr>
        <w:t>章</w:t>
      </w:r>
      <w:r>
        <w:rPr>
          <w:rFonts w:hint="eastAsia"/>
          <w:color w:val="auto"/>
          <w:highlight w:val="none"/>
        </w:rPr>
        <w:t xml:space="preserve"> 文旅兴区篇</w:t>
      </w:r>
      <w:bookmarkEnd w:id="24"/>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1DCA34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2B5ACAEE">
            <w:pPr>
              <w:pStyle w:val="8"/>
              <w:ind w:firstLine="480"/>
              <w:rPr>
                <w:color w:val="auto"/>
                <w:sz w:val="24"/>
                <w:highlight w:val="none"/>
              </w:rPr>
            </w:pPr>
            <w:r>
              <w:rPr>
                <w:color w:val="auto"/>
                <w:sz w:val="24"/>
                <w:highlight w:val="none"/>
              </w:rPr>
              <w:t>政策依据</w:t>
            </w:r>
            <w:r>
              <w:rPr>
                <w:rFonts w:hint="eastAsia"/>
                <w:color w:val="auto"/>
                <w:sz w:val="24"/>
                <w:highlight w:val="none"/>
              </w:rPr>
              <w:t>：《国务院办公厅关于进一步激发文化和旅游消费潜力的意见》、《国务院办公厅关于促进全域旅游发展的指导意见》、《关于促进特色小镇规范健康发展的意见》、</w:t>
            </w:r>
            <w:r>
              <w:rPr>
                <w:color w:val="auto"/>
                <w:sz w:val="24"/>
                <w:highlight w:val="none"/>
              </w:rPr>
              <w:t>《</w:t>
            </w:r>
            <w:r>
              <w:rPr>
                <w:rFonts w:hint="eastAsia"/>
                <w:color w:val="auto"/>
                <w:sz w:val="24"/>
                <w:highlight w:val="none"/>
              </w:rPr>
              <w:t>本溪市南芬区全域旅游发展规划</w:t>
            </w:r>
            <w:r>
              <w:rPr>
                <w:color w:val="auto"/>
                <w:sz w:val="24"/>
                <w:highlight w:val="none"/>
              </w:rPr>
              <w:t>》</w:t>
            </w:r>
            <w:r>
              <w:rPr>
                <w:rFonts w:hint="eastAsia"/>
                <w:color w:val="auto"/>
                <w:sz w:val="24"/>
                <w:highlight w:val="none"/>
              </w:rPr>
              <w:t>（</w:t>
            </w:r>
            <w:r>
              <w:rPr>
                <w:color w:val="auto"/>
                <w:sz w:val="24"/>
                <w:highlight w:val="none"/>
              </w:rPr>
              <w:t>2021-2030年）</w:t>
            </w:r>
          </w:p>
        </w:tc>
      </w:tr>
      <w:tr w14:paraId="0A4D5B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5B3BB099">
            <w:pPr>
              <w:pStyle w:val="8"/>
              <w:ind w:firstLine="480"/>
              <w:rPr>
                <w:color w:val="auto"/>
                <w:sz w:val="24"/>
                <w:highlight w:val="none"/>
              </w:rPr>
            </w:pPr>
            <w:r>
              <w:rPr>
                <w:color w:val="auto"/>
                <w:sz w:val="24"/>
                <w:highlight w:val="none"/>
              </w:rPr>
              <w:t>规划主题</w:t>
            </w:r>
            <w:r>
              <w:rPr>
                <w:rFonts w:hint="eastAsia"/>
                <w:color w:val="auto"/>
                <w:sz w:val="24"/>
                <w:highlight w:val="none"/>
              </w:rPr>
              <w:t>：培育文旅动能，服务融合打造南芬名片</w:t>
            </w:r>
          </w:p>
        </w:tc>
      </w:tr>
      <w:tr w14:paraId="508A3D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39DC1E7">
            <w:pPr>
              <w:pStyle w:val="8"/>
              <w:ind w:firstLine="480"/>
              <w:rPr>
                <w:color w:val="auto"/>
                <w:sz w:val="24"/>
                <w:highlight w:val="none"/>
              </w:rPr>
            </w:pPr>
            <w:r>
              <w:rPr>
                <w:color w:val="auto"/>
                <w:sz w:val="24"/>
                <w:highlight w:val="none"/>
              </w:rPr>
              <w:t>规划领域</w:t>
            </w:r>
            <w:r>
              <w:rPr>
                <w:rFonts w:hint="eastAsia"/>
                <w:color w:val="auto"/>
                <w:sz w:val="24"/>
                <w:highlight w:val="none"/>
              </w:rPr>
              <w:t>：服务业、文化领域</w:t>
            </w:r>
          </w:p>
        </w:tc>
      </w:tr>
      <w:tr w14:paraId="158E0F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3BC051D3">
            <w:pPr>
              <w:pStyle w:val="8"/>
              <w:ind w:firstLine="480"/>
              <w:rPr>
                <w:color w:val="auto"/>
                <w:sz w:val="24"/>
                <w:highlight w:val="none"/>
              </w:rPr>
            </w:pPr>
            <w:r>
              <w:rPr>
                <w:color w:val="auto"/>
                <w:sz w:val="24"/>
                <w:highlight w:val="none"/>
              </w:rPr>
              <w:t>规划重点</w:t>
            </w:r>
            <w:r>
              <w:rPr>
                <w:rFonts w:hint="eastAsia"/>
                <w:color w:val="auto"/>
                <w:sz w:val="24"/>
                <w:highlight w:val="none"/>
              </w:rPr>
              <w:t>：文旅产业、文化服务、生态旅游、现代服务业</w:t>
            </w:r>
          </w:p>
        </w:tc>
      </w:tr>
    </w:tbl>
    <w:p w14:paraId="008F9213">
      <w:pPr>
        <w:ind w:firstLine="560"/>
        <w:rPr>
          <w:color w:val="auto"/>
          <w:highlight w:val="none"/>
        </w:rPr>
      </w:pPr>
      <w:r>
        <w:rPr>
          <w:rFonts w:hint="eastAsia"/>
          <w:color w:val="auto"/>
          <w:highlight w:val="none"/>
        </w:rPr>
        <w:t>依托南芬优良自然生态环境，紧扣“辽砚之乡、山水生态”特色，整合南芬区范围内的文化遗产、古镇古村、森林公园、旅游景区、乡村农业等自然和文化资源，通过“顶级品牌拉动、明星景区带动、辅助景区随动、全区整体联动”的“四动”发展路径，将南芬区打造成为集山水度假、文化研学、乡村休闲、康体休闲、生态旅游于一体的中国北方知名的生态文化创意旅游目的地，实现南芬区旅游产业的跨越式发展，打造</w:t>
      </w:r>
      <w:r>
        <w:rPr>
          <w:rFonts w:hint="eastAsia"/>
          <w:b/>
          <w:bCs/>
          <w:color w:val="auto"/>
          <w:highlight w:val="none"/>
        </w:rPr>
        <w:t>魅力</w:t>
      </w:r>
      <w:r>
        <w:rPr>
          <w:rFonts w:hint="eastAsia"/>
          <w:color w:val="auto"/>
          <w:highlight w:val="none"/>
        </w:rPr>
        <w:t>南芬。</w:t>
      </w:r>
    </w:p>
    <w:p w14:paraId="35353B58">
      <w:pPr>
        <w:pStyle w:val="4"/>
        <w:ind w:firstLine="643"/>
        <w:rPr>
          <w:color w:val="auto"/>
          <w:highlight w:val="none"/>
        </w:rPr>
      </w:pPr>
      <w:bookmarkStart w:id="25" w:name="_Toc143701970"/>
      <w:r>
        <w:rPr>
          <w:color w:val="auto"/>
          <w:highlight w:val="none"/>
        </w:rPr>
        <w:t>第</w:t>
      </w:r>
      <w:r>
        <w:rPr>
          <w:rFonts w:hint="eastAsia"/>
          <w:color w:val="auto"/>
          <w:highlight w:val="none"/>
        </w:rPr>
        <w:t>一</w:t>
      </w:r>
      <w:r>
        <w:rPr>
          <w:color w:val="auto"/>
          <w:highlight w:val="none"/>
        </w:rPr>
        <w:t>节</w:t>
      </w:r>
      <w:r>
        <w:rPr>
          <w:rFonts w:hint="eastAsia"/>
          <w:color w:val="auto"/>
          <w:highlight w:val="none"/>
        </w:rPr>
        <w:t xml:space="preserve"> 构建旅游发展空间全域化</w:t>
      </w:r>
      <w:bookmarkEnd w:id="25"/>
    </w:p>
    <w:p w14:paraId="74CC51BF">
      <w:pPr>
        <w:ind w:firstLine="560"/>
        <w:rPr>
          <w:color w:val="auto"/>
          <w:highlight w:val="none"/>
        </w:rPr>
      </w:pPr>
      <w:r>
        <w:rPr>
          <w:rFonts w:hint="eastAsia"/>
          <w:color w:val="auto"/>
          <w:highlight w:val="none"/>
        </w:rPr>
        <w:t>1.全域旅游总体定位</w:t>
      </w:r>
    </w:p>
    <w:p w14:paraId="7F9A36A4">
      <w:pPr>
        <w:ind w:firstLine="560"/>
        <w:rPr>
          <w:color w:val="auto"/>
          <w:highlight w:val="none"/>
        </w:rPr>
      </w:pPr>
      <w:r>
        <w:rPr>
          <w:rFonts w:hint="eastAsia"/>
          <w:color w:val="auto"/>
          <w:highlight w:val="none"/>
        </w:rPr>
        <w:t>以名砚、瀑布、峡谷等为特色的中国北方知名的生态文化创意旅游目的地。</w:t>
      </w:r>
    </w:p>
    <w:p w14:paraId="48D3AE2D">
      <w:pPr>
        <w:ind w:firstLine="562"/>
        <w:rPr>
          <w:b/>
          <w:color w:val="auto"/>
          <w:highlight w:val="none"/>
        </w:rPr>
      </w:pPr>
      <w:r>
        <w:rPr>
          <w:b/>
          <w:color w:val="auto"/>
          <w:highlight w:val="none"/>
        </w:rPr>
        <w:t>形象定位</w:t>
      </w:r>
      <w:r>
        <w:rPr>
          <w:rFonts w:hint="eastAsia"/>
          <w:b/>
          <w:color w:val="auto"/>
          <w:highlight w:val="none"/>
        </w:rPr>
        <w:t>：</w:t>
      </w:r>
    </w:p>
    <w:p w14:paraId="18DCB295">
      <w:pPr>
        <w:ind w:firstLine="0" w:firstLineChars="0"/>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冰瀑秀谷</w:t>
      </w:r>
      <w:r>
        <w:rPr>
          <w:rFonts w:ascii="黑体" w:hAnsi="黑体" w:eastAsia="黑体"/>
          <w:color w:val="auto"/>
          <w:sz w:val="36"/>
          <w:szCs w:val="36"/>
          <w:highlight w:val="none"/>
        </w:rPr>
        <w:t xml:space="preserve">  美砚南芬</w:t>
      </w:r>
    </w:p>
    <w:p w14:paraId="53F18549">
      <w:pPr>
        <w:ind w:firstLine="562"/>
        <w:rPr>
          <w:b/>
          <w:color w:val="auto"/>
          <w:highlight w:val="none"/>
        </w:rPr>
      </w:pPr>
    </w:p>
    <w:p w14:paraId="60181CAF">
      <w:pPr>
        <w:ind w:firstLine="562"/>
        <w:rPr>
          <w:b/>
          <w:color w:val="auto"/>
          <w:highlight w:val="none"/>
        </w:rPr>
      </w:pPr>
      <w:r>
        <w:rPr>
          <w:rFonts w:hint="eastAsia"/>
          <w:b/>
          <w:color w:val="auto"/>
          <w:highlight w:val="none"/>
        </w:rPr>
        <w:t>目标</w:t>
      </w:r>
      <w:r>
        <w:rPr>
          <w:b/>
          <w:color w:val="auto"/>
          <w:highlight w:val="none"/>
        </w:rPr>
        <w:t>定位</w:t>
      </w:r>
      <w:r>
        <w:rPr>
          <w:rFonts w:hint="eastAsia"/>
          <w:b/>
          <w:color w:val="auto"/>
          <w:highlight w:val="none"/>
        </w:rPr>
        <w:t>：</w:t>
      </w:r>
    </w:p>
    <w:p w14:paraId="2ABC52FB">
      <w:pPr>
        <w:ind w:firstLine="0" w:firstLineChars="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国家全域旅游示范区</w:t>
      </w:r>
    </w:p>
    <w:p w14:paraId="4450A00B">
      <w:pPr>
        <w:ind w:firstLine="0" w:firstLineChars="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中国北方知名的生态文化创意旅游目的地</w:t>
      </w:r>
    </w:p>
    <w:p w14:paraId="49117C6E">
      <w:pPr>
        <w:ind w:firstLine="562"/>
        <w:rPr>
          <w:b/>
          <w:color w:val="auto"/>
          <w:highlight w:val="none"/>
        </w:rPr>
      </w:pPr>
      <w:r>
        <w:rPr>
          <w:b/>
          <w:color w:val="auto"/>
          <w:highlight w:val="none"/>
        </w:rPr>
        <w:t>发展战略</w:t>
      </w:r>
      <w:r>
        <w:rPr>
          <w:rFonts w:hint="eastAsia"/>
          <w:b/>
          <w:color w:val="auto"/>
          <w:highlight w:val="none"/>
        </w:rPr>
        <w:t>：</w:t>
      </w:r>
    </w:p>
    <w:p w14:paraId="2F47D31A">
      <w:pPr>
        <w:ind w:firstLine="562"/>
        <w:rPr>
          <w:color w:val="auto"/>
          <w:highlight w:val="none"/>
        </w:rPr>
      </w:pPr>
      <w:r>
        <w:rPr>
          <w:rFonts w:hint="eastAsia"/>
          <w:b/>
          <w:color w:val="auto"/>
          <w:highlight w:val="none"/>
        </w:rPr>
        <w:t>抓龙头</w:t>
      </w:r>
      <w:r>
        <w:rPr>
          <w:rFonts w:hint="eastAsia"/>
          <w:color w:val="auto"/>
          <w:highlight w:val="none"/>
        </w:rPr>
        <w:t>——依托大冰沟国家森林公园和本溪大峡谷现有资源基础，进行旅游产品有机更新，紧跟休闲度假旅游消费趋势，引领南芬全域旅游产品提质升级。</w:t>
      </w:r>
    </w:p>
    <w:p w14:paraId="09DEAE2F">
      <w:pPr>
        <w:ind w:firstLine="562"/>
        <w:rPr>
          <w:color w:val="auto"/>
          <w:highlight w:val="none"/>
        </w:rPr>
      </w:pPr>
      <w:r>
        <w:rPr>
          <w:rFonts w:hint="eastAsia"/>
          <w:b/>
          <w:color w:val="auto"/>
          <w:highlight w:val="none"/>
        </w:rPr>
        <w:t>立产业</w:t>
      </w:r>
      <w:r>
        <w:rPr>
          <w:rFonts w:hint="eastAsia"/>
          <w:color w:val="auto"/>
          <w:highlight w:val="none"/>
        </w:rPr>
        <w:t>——充分挖掘南芬地域历史与文化，利用现有资源优势，打造以辽砚为代表的文化旅游产品，文旅融合，形成“产学研”一体化的文旅产业集群。</w:t>
      </w:r>
    </w:p>
    <w:p w14:paraId="74E4A4AF">
      <w:pPr>
        <w:ind w:firstLine="562"/>
        <w:rPr>
          <w:color w:val="auto"/>
          <w:highlight w:val="none"/>
        </w:rPr>
      </w:pPr>
      <w:r>
        <w:rPr>
          <w:rFonts w:hint="eastAsia"/>
          <w:b/>
          <w:color w:val="auto"/>
          <w:highlight w:val="none"/>
        </w:rPr>
        <w:t>育基底</w:t>
      </w:r>
      <w:r>
        <w:rPr>
          <w:rFonts w:hint="eastAsia"/>
          <w:color w:val="auto"/>
          <w:highlight w:val="none"/>
        </w:rPr>
        <w:t>——依据“生态立区”的战略定位，充分利用南芬的生态环境优势，发展乡村旅游。选取基础较好的村街加以规划指引，重点扶持，一村一品，打造乡村旅游样板村，带动全域乡村旅游发展，与景区旅游形成合力。</w:t>
      </w:r>
    </w:p>
    <w:p w14:paraId="2C47A1A9">
      <w:pPr>
        <w:ind w:firstLine="560"/>
        <w:rPr>
          <w:color w:val="auto"/>
          <w:highlight w:val="none"/>
        </w:rPr>
      </w:pPr>
      <w:r>
        <w:rPr>
          <w:color w:val="auto"/>
          <w:highlight w:val="none"/>
        </w:rPr>
        <w:t>2.</w:t>
      </w:r>
      <w:r>
        <w:rPr>
          <w:rFonts w:hint="eastAsia"/>
          <w:color w:val="auto"/>
          <w:highlight w:val="none"/>
        </w:rPr>
        <w:t>全域旅游</w:t>
      </w:r>
      <w:r>
        <w:rPr>
          <w:color w:val="auto"/>
          <w:highlight w:val="none"/>
        </w:rPr>
        <w:t>空间布局</w:t>
      </w:r>
    </w:p>
    <w:p w14:paraId="1D669A6A">
      <w:pPr>
        <w:pStyle w:val="37"/>
        <w:numPr>
          <w:ilvl w:val="0"/>
          <w:numId w:val="2"/>
        </w:numPr>
        <w:ind w:firstLineChars="0"/>
        <w:rPr>
          <w:color w:val="auto"/>
          <w:highlight w:val="none"/>
        </w:rPr>
      </w:pPr>
      <w:r>
        <w:rPr>
          <w:rFonts w:hint="eastAsia"/>
          <w:color w:val="auto"/>
          <w:highlight w:val="none"/>
        </w:rPr>
        <w:t>一心、一轴、一环、七组团</w:t>
      </w:r>
    </w:p>
    <w:p w14:paraId="0E55339F">
      <w:pPr>
        <w:pStyle w:val="37"/>
        <w:numPr>
          <w:ilvl w:val="0"/>
          <w:numId w:val="2"/>
        </w:numPr>
        <w:ind w:firstLineChars="0"/>
        <w:rPr>
          <w:color w:val="auto"/>
          <w:highlight w:val="none"/>
        </w:rPr>
      </w:pPr>
      <w:r>
        <w:rPr>
          <w:rFonts w:hint="eastAsia"/>
          <w:color w:val="auto"/>
          <w:highlight w:val="none"/>
        </w:rPr>
        <w:t>一心——辽砚博物馆旅游集散中心。</w:t>
      </w:r>
    </w:p>
    <w:p w14:paraId="462E6826">
      <w:pPr>
        <w:pStyle w:val="37"/>
        <w:numPr>
          <w:ilvl w:val="0"/>
          <w:numId w:val="2"/>
        </w:numPr>
        <w:ind w:firstLineChars="0"/>
        <w:rPr>
          <w:color w:val="auto"/>
          <w:highlight w:val="none"/>
        </w:rPr>
      </w:pPr>
      <w:r>
        <w:rPr>
          <w:rFonts w:hint="eastAsia"/>
          <w:color w:val="auto"/>
          <w:highlight w:val="none"/>
        </w:rPr>
        <w:t>一轴——以连接南芬区思山岭、南芬、下马塘三个板块的国道丹霍线为主轴形成的国道旅游景观轴。</w:t>
      </w:r>
    </w:p>
    <w:p w14:paraId="37BF735B">
      <w:pPr>
        <w:pStyle w:val="37"/>
        <w:numPr>
          <w:ilvl w:val="0"/>
          <w:numId w:val="2"/>
        </w:numPr>
        <w:ind w:firstLineChars="0"/>
        <w:rPr>
          <w:color w:val="auto"/>
          <w:highlight w:val="none"/>
        </w:rPr>
      </w:pPr>
      <w:r>
        <w:rPr>
          <w:rFonts w:hint="eastAsia"/>
          <w:color w:val="auto"/>
          <w:highlight w:val="none"/>
        </w:rPr>
        <w:t>一环——以南芬周边旅游景点及村落为依托，连接各郊区旅游资源形成近郊乡村旅游环线。</w:t>
      </w:r>
    </w:p>
    <w:p w14:paraId="05F48662">
      <w:pPr>
        <w:pStyle w:val="37"/>
        <w:numPr>
          <w:ilvl w:val="0"/>
          <w:numId w:val="2"/>
        </w:numPr>
        <w:ind w:firstLineChars="0"/>
        <w:rPr>
          <w:color w:val="auto"/>
          <w:highlight w:val="none"/>
        </w:rPr>
      </w:pPr>
      <w:r>
        <w:rPr>
          <w:rFonts w:hint="eastAsia"/>
          <w:color w:val="auto"/>
          <w:highlight w:val="none"/>
        </w:rPr>
        <w:t>七组团——青云山绿色生态组团、辽砚产业园石艺组团、财神民俗文化组团、大冰沟生态休闲组团、大峡谷沟域风光组团、南天门红色经典组团、红色基因文化传承组团。</w:t>
      </w:r>
    </w:p>
    <w:p w14:paraId="28D6BF75">
      <w:pPr>
        <w:ind w:firstLine="0" w:firstLineChars="0"/>
        <w:rPr>
          <w:color w:val="auto"/>
          <w:highlight w:val="none"/>
        </w:rPr>
      </w:pPr>
      <w:r>
        <w:rPr>
          <w:color w:val="auto"/>
          <w:highlight w:val="none"/>
        </w:rPr>
        <w:drawing>
          <wp:inline distT="0" distB="0" distL="0" distR="0">
            <wp:extent cx="5274310" cy="6213475"/>
            <wp:effectExtent l="0" t="0" r="254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310" cy="6213475"/>
                    </a:xfrm>
                    <a:prstGeom prst="rect">
                      <a:avLst/>
                    </a:prstGeom>
                  </pic:spPr>
                </pic:pic>
              </a:graphicData>
            </a:graphic>
          </wp:inline>
        </w:drawing>
      </w:r>
    </w:p>
    <w:p w14:paraId="21EE57CE">
      <w:pPr>
        <w:ind w:firstLine="560"/>
        <w:rPr>
          <w:color w:val="auto"/>
          <w:highlight w:val="none"/>
        </w:rPr>
      </w:pPr>
      <w:r>
        <w:rPr>
          <w:rFonts w:hint="eastAsia"/>
          <w:color w:val="auto"/>
          <w:highlight w:val="none"/>
        </w:rPr>
        <w:t>3.七组团构成</w:t>
      </w:r>
    </w:p>
    <w:p w14:paraId="612A9851">
      <w:pPr>
        <w:ind w:firstLine="562"/>
        <w:rPr>
          <w:color w:val="auto"/>
          <w:highlight w:val="none"/>
        </w:rPr>
      </w:pPr>
      <w:r>
        <w:rPr>
          <w:rFonts w:hint="eastAsia"/>
          <w:b/>
          <w:color w:val="auto"/>
          <w:highlight w:val="none"/>
        </w:rPr>
        <w:t>青云山绿色生态组团</w:t>
      </w:r>
      <w:r>
        <w:rPr>
          <w:rFonts w:hint="eastAsia"/>
          <w:color w:val="auto"/>
          <w:highlight w:val="none"/>
        </w:rPr>
        <w:t>：以青云山景区为核心引领，打造具备生态观光、丛林探险等功能为一体的组团；</w:t>
      </w:r>
    </w:p>
    <w:p w14:paraId="5BB9A885">
      <w:pPr>
        <w:ind w:firstLine="562"/>
        <w:rPr>
          <w:color w:val="auto"/>
          <w:highlight w:val="none"/>
        </w:rPr>
      </w:pPr>
      <w:r>
        <w:rPr>
          <w:rFonts w:hint="eastAsia"/>
          <w:b/>
          <w:color w:val="auto"/>
          <w:highlight w:val="none"/>
        </w:rPr>
        <w:t>辽砚产业园石艺组团</w:t>
      </w:r>
      <w:r>
        <w:rPr>
          <w:rFonts w:hint="eastAsia"/>
          <w:color w:val="auto"/>
          <w:highlight w:val="none"/>
        </w:rPr>
        <w:t>：以辽砚文化产业园为核心引领，融合发展特色乡村旅游与矿区生态旅游项目，形成具备文化体验、生态旅游等功能为一体的组团；</w:t>
      </w:r>
    </w:p>
    <w:p w14:paraId="75D7B539">
      <w:pPr>
        <w:ind w:firstLine="562"/>
        <w:rPr>
          <w:color w:val="auto"/>
          <w:highlight w:val="none"/>
        </w:rPr>
      </w:pPr>
      <w:r>
        <w:rPr>
          <w:rFonts w:hint="eastAsia"/>
          <w:b/>
          <w:color w:val="auto"/>
          <w:highlight w:val="none"/>
        </w:rPr>
        <w:t>财神民俗文化组团</w:t>
      </w:r>
      <w:r>
        <w:rPr>
          <w:rFonts w:hint="eastAsia"/>
          <w:color w:val="auto"/>
          <w:highlight w:val="none"/>
        </w:rPr>
        <w:t>：以财神文化为主题，结合民俗文化，打造具有休闲娱乐与文化体验功能的组团；</w:t>
      </w:r>
    </w:p>
    <w:p w14:paraId="1108887F">
      <w:pPr>
        <w:ind w:firstLine="562"/>
        <w:rPr>
          <w:color w:val="auto"/>
          <w:highlight w:val="none"/>
        </w:rPr>
      </w:pPr>
      <w:r>
        <w:rPr>
          <w:rFonts w:hint="eastAsia"/>
          <w:b/>
          <w:color w:val="auto"/>
          <w:highlight w:val="none"/>
        </w:rPr>
        <w:t>大冰沟生态休闲组团</w:t>
      </w:r>
      <w:r>
        <w:rPr>
          <w:rFonts w:hint="eastAsia"/>
          <w:color w:val="auto"/>
          <w:highlight w:val="none"/>
        </w:rPr>
        <w:t>：以大冰沟国家森林公园为引领，充分发挥生态旅游功能，打造具备生态文化体验、山水观光等功能为一体的组团；</w:t>
      </w:r>
    </w:p>
    <w:p w14:paraId="62BB07E5">
      <w:pPr>
        <w:ind w:firstLine="562"/>
        <w:rPr>
          <w:color w:val="auto"/>
          <w:highlight w:val="none"/>
        </w:rPr>
      </w:pPr>
      <w:r>
        <w:rPr>
          <w:rFonts w:hint="eastAsia"/>
          <w:b/>
          <w:color w:val="auto"/>
          <w:highlight w:val="none"/>
        </w:rPr>
        <w:t>大峡谷沟域风光组团</w:t>
      </w:r>
      <w:r>
        <w:rPr>
          <w:rFonts w:hint="eastAsia"/>
          <w:color w:val="auto"/>
          <w:highlight w:val="none"/>
        </w:rPr>
        <w:t>：以大峡谷景区为引领，结合山水景观资源，打造沟域风光体验组团；</w:t>
      </w:r>
    </w:p>
    <w:p w14:paraId="0D33D19E">
      <w:pPr>
        <w:ind w:firstLine="562"/>
        <w:rPr>
          <w:color w:val="auto"/>
          <w:highlight w:val="none"/>
        </w:rPr>
      </w:pPr>
      <w:r>
        <w:rPr>
          <w:rFonts w:hint="eastAsia"/>
          <w:b/>
          <w:color w:val="auto"/>
          <w:highlight w:val="none"/>
        </w:rPr>
        <w:t>南天门红色经典组团</w:t>
      </w:r>
      <w:r>
        <w:rPr>
          <w:rFonts w:hint="eastAsia"/>
          <w:color w:val="auto"/>
          <w:highlight w:val="none"/>
        </w:rPr>
        <w:t>：以红色文化为主题，以南天门景区为核心，打造红色经典文化体验组团；</w:t>
      </w:r>
    </w:p>
    <w:p w14:paraId="33FC11B7">
      <w:pPr>
        <w:ind w:firstLine="562"/>
        <w:rPr>
          <w:color w:val="auto"/>
          <w:highlight w:val="none"/>
        </w:rPr>
      </w:pPr>
      <w:r>
        <w:rPr>
          <w:rFonts w:hint="eastAsia"/>
          <w:b/>
          <w:color w:val="auto"/>
          <w:highlight w:val="none"/>
        </w:rPr>
        <w:t>红色基因文化传承组团</w:t>
      </w:r>
      <w:r>
        <w:rPr>
          <w:rFonts w:hint="eastAsia"/>
          <w:color w:val="auto"/>
          <w:highlight w:val="none"/>
        </w:rPr>
        <w:t>：以红色传承为主要目的，提升苗可秀故居等红色文化旅游景点，打造红色文化传承组团。</w:t>
      </w:r>
    </w:p>
    <w:p w14:paraId="1D949B6D">
      <w:pPr>
        <w:pStyle w:val="4"/>
        <w:ind w:firstLine="643"/>
        <w:rPr>
          <w:color w:val="auto"/>
          <w:highlight w:val="none"/>
        </w:rPr>
      </w:pPr>
      <w:bookmarkStart w:id="26" w:name="_Toc143701971"/>
      <w:r>
        <w:rPr>
          <w:color w:val="auto"/>
          <w:highlight w:val="none"/>
        </w:rPr>
        <w:t>第</w:t>
      </w:r>
      <w:r>
        <w:rPr>
          <w:rFonts w:hint="eastAsia"/>
          <w:color w:val="auto"/>
          <w:highlight w:val="none"/>
        </w:rPr>
        <w:t>二</w:t>
      </w:r>
      <w:r>
        <w:rPr>
          <w:color w:val="auto"/>
          <w:highlight w:val="none"/>
        </w:rPr>
        <w:t>节</w:t>
      </w:r>
      <w:r>
        <w:rPr>
          <w:rFonts w:hint="eastAsia"/>
          <w:color w:val="auto"/>
          <w:highlight w:val="none"/>
        </w:rPr>
        <w:t xml:space="preserve"> 推进旅游产品体系全域化</w:t>
      </w:r>
      <w:bookmarkEnd w:id="26"/>
    </w:p>
    <w:p w14:paraId="08BD33A3">
      <w:pPr>
        <w:ind w:firstLine="560"/>
        <w:rPr>
          <w:rFonts w:ascii="Times New Roman" w:hAnsi="Times New Roman" w:eastAsia="仿宋_GB2312"/>
          <w:color w:val="auto"/>
          <w:szCs w:val="28"/>
          <w:highlight w:val="none"/>
        </w:rPr>
      </w:pPr>
      <w:r>
        <w:rPr>
          <w:rFonts w:hint="eastAsia" w:ascii="Times New Roman" w:hAnsi="Times New Roman" w:eastAsia="仿宋_GB2312"/>
          <w:color w:val="auto"/>
          <w:szCs w:val="28"/>
          <w:highlight w:val="none"/>
        </w:rPr>
        <w:t>1.打造全域化旅游项目体系</w:t>
      </w:r>
    </w:p>
    <w:p w14:paraId="2D2B4021">
      <w:pPr>
        <w:ind w:firstLine="560"/>
        <w:rPr>
          <w:rFonts w:ascii="Times New Roman" w:hAnsi="Times New Roman" w:eastAsia="仿宋_GB2312"/>
          <w:color w:val="auto"/>
          <w:szCs w:val="28"/>
          <w:highlight w:val="none"/>
        </w:rPr>
      </w:pPr>
      <w:r>
        <w:rPr>
          <w:rFonts w:hint="eastAsia" w:ascii="Times New Roman" w:hAnsi="Times New Roman" w:eastAsia="仿宋_GB2312"/>
          <w:color w:val="auto"/>
          <w:szCs w:val="28"/>
          <w:highlight w:val="none"/>
        </w:rPr>
        <w:t>依托现有资源和在地文化，打造南芬“4+7+11”</w:t>
      </w:r>
      <w:r>
        <w:rPr>
          <w:rFonts w:hint="eastAsia"/>
          <w:color w:val="auto"/>
          <w:highlight w:val="none"/>
        </w:rPr>
        <w:t xml:space="preserve"> </w:t>
      </w:r>
      <w:r>
        <w:rPr>
          <w:rFonts w:hint="eastAsia" w:ascii="Times New Roman" w:hAnsi="Times New Roman" w:eastAsia="仿宋_GB2312"/>
          <w:color w:val="auto"/>
          <w:szCs w:val="28"/>
          <w:highlight w:val="none"/>
        </w:rPr>
        <w:t>全域化旅游项目体系：</w:t>
      </w:r>
    </w:p>
    <w:p w14:paraId="2D75281D">
      <w:pPr>
        <w:pStyle w:val="37"/>
        <w:numPr>
          <w:ilvl w:val="0"/>
          <w:numId w:val="3"/>
        </w:numPr>
        <w:ind w:left="0" w:firstLine="0" w:firstLineChars="0"/>
        <w:jc w:val="center"/>
        <w:rPr>
          <w:color w:val="auto"/>
          <w:highlight w:val="none"/>
        </w:rPr>
      </w:pPr>
      <w:r>
        <w:rPr>
          <w:rFonts w:hint="eastAsia"/>
          <w:color w:val="auto"/>
          <w:highlight w:val="none"/>
        </w:rPr>
        <w:t>“四  大”引擎项目</w:t>
      </w:r>
    </w:p>
    <w:p w14:paraId="18595108">
      <w:pPr>
        <w:pStyle w:val="37"/>
        <w:numPr>
          <w:ilvl w:val="0"/>
          <w:numId w:val="3"/>
        </w:numPr>
        <w:ind w:left="0" w:firstLine="0" w:firstLineChars="0"/>
        <w:jc w:val="center"/>
        <w:rPr>
          <w:color w:val="auto"/>
          <w:highlight w:val="none"/>
        </w:rPr>
      </w:pPr>
      <w:r>
        <w:rPr>
          <w:rFonts w:hint="eastAsia"/>
          <w:color w:val="auto"/>
          <w:highlight w:val="none"/>
        </w:rPr>
        <w:t>“七  大”重点项目</w:t>
      </w:r>
    </w:p>
    <w:p w14:paraId="3EFC7568">
      <w:pPr>
        <w:pStyle w:val="37"/>
        <w:numPr>
          <w:ilvl w:val="0"/>
          <w:numId w:val="3"/>
        </w:numPr>
        <w:ind w:left="0" w:firstLine="0" w:firstLineChars="0"/>
        <w:jc w:val="center"/>
        <w:rPr>
          <w:color w:val="auto"/>
          <w:highlight w:val="none"/>
        </w:rPr>
      </w:pPr>
      <w:r>
        <w:rPr>
          <w:rFonts w:hint="eastAsia"/>
          <w:color w:val="auto"/>
          <w:highlight w:val="none"/>
        </w:rPr>
        <w:t>“十一大”辅助项目</w:t>
      </w:r>
    </w:p>
    <w:p w14:paraId="1C8110F3">
      <w:pPr>
        <w:ind w:firstLine="560"/>
        <w:rPr>
          <w:color w:val="auto"/>
          <w:highlight w:val="none"/>
        </w:rPr>
      </w:pPr>
    </w:p>
    <w:p w14:paraId="2BEC0F48">
      <w:pPr>
        <w:ind w:firstLine="480"/>
        <w:jc w:val="center"/>
        <w:rPr>
          <w:rFonts w:ascii="Times New Roman" w:hAnsi="Times New Roman" w:eastAsia="仿宋_GB2312"/>
          <w:color w:val="auto"/>
          <w:szCs w:val="28"/>
          <w:highlight w:val="none"/>
        </w:rPr>
      </w:pPr>
      <w:r>
        <w:rPr>
          <w:rFonts w:hint="eastAsia" w:ascii="仿宋" w:hAnsi="仿宋" w:cs="仿宋"/>
          <w:color w:val="auto"/>
          <w:sz w:val="24"/>
          <w:highlight w:val="none"/>
        </w:rPr>
        <w:t>5-1南芬区</w:t>
      </w:r>
      <w:r>
        <w:rPr>
          <w:rFonts w:hint="eastAsia" w:ascii="Times New Roman" w:hAnsi="Times New Roman" w:eastAsia="仿宋_GB2312"/>
          <w:color w:val="auto"/>
          <w:sz w:val="24"/>
          <w:highlight w:val="none"/>
        </w:rPr>
        <w:t>“4+7+11”全域化旅游项目体系</w:t>
      </w:r>
      <w:r>
        <w:rPr>
          <w:rFonts w:hint="eastAsia" w:ascii="仿宋" w:hAnsi="仿宋" w:cs="仿宋"/>
          <w:color w:val="auto"/>
          <w:sz w:val="24"/>
          <w:highlight w:val="none"/>
        </w:rPr>
        <w:t>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18"/>
        <w:gridCol w:w="2864"/>
      </w:tblGrid>
      <w:tr w14:paraId="1974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522" w:type="dxa"/>
            <w:gridSpan w:val="3"/>
            <w:vAlign w:val="center"/>
          </w:tcPr>
          <w:p w14:paraId="28FDA03F">
            <w:pPr>
              <w:widowControl w:val="0"/>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南芬“4+7+11”旅游项目体系</w:t>
            </w:r>
          </w:p>
        </w:tc>
      </w:tr>
      <w:tr w14:paraId="195E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840" w:type="dxa"/>
            <w:vAlign w:val="center"/>
          </w:tcPr>
          <w:p w14:paraId="55DABCC7">
            <w:pPr>
              <w:widowControl w:val="0"/>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四大引擎项目</w:t>
            </w:r>
          </w:p>
        </w:tc>
        <w:tc>
          <w:tcPr>
            <w:tcW w:w="2818" w:type="dxa"/>
            <w:vAlign w:val="center"/>
          </w:tcPr>
          <w:p w14:paraId="359ABE34">
            <w:pPr>
              <w:widowControl w:val="0"/>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七大重点项目</w:t>
            </w:r>
          </w:p>
        </w:tc>
        <w:tc>
          <w:tcPr>
            <w:tcW w:w="2864" w:type="dxa"/>
            <w:vAlign w:val="center"/>
          </w:tcPr>
          <w:p w14:paraId="0FDC845A">
            <w:pPr>
              <w:widowControl w:val="0"/>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十一大辅助项目</w:t>
            </w:r>
          </w:p>
        </w:tc>
      </w:tr>
      <w:tr w14:paraId="3E90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E334CA6">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辽砚文化产业园</w:t>
            </w:r>
          </w:p>
          <w:p w14:paraId="488827D9">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大冰沟国家森林公园</w:t>
            </w:r>
          </w:p>
          <w:p w14:paraId="0CD7093C">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本溪大峡谷景区</w:t>
            </w:r>
          </w:p>
          <w:p w14:paraId="11700397">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青云山景区</w:t>
            </w:r>
          </w:p>
        </w:tc>
        <w:tc>
          <w:tcPr>
            <w:tcW w:w="2818" w:type="dxa"/>
          </w:tcPr>
          <w:p w14:paraId="1A36BD5D">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水美乡村建设</w:t>
            </w:r>
          </w:p>
          <w:p w14:paraId="10ACF7E2">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虹鳟鱼乡旅游特色小镇</w:t>
            </w:r>
          </w:p>
          <w:p w14:paraId="09174C58">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财神民俗文化旅游区</w:t>
            </w:r>
          </w:p>
          <w:p w14:paraId="3C68D792">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五鼎山生态农业旅游区</w:t>
            </w:r>
          </w:p>
          <w:p w14:paraId="39864F8C">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南天门红色旅游区</w:t>
            </w:r>
          </w:p>
          <w:p w14:paraId="68E294F7">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北大山森林公园</w:t>
            </w:r>
          </w:p>
          <w:p w14:paraId="173DBB9D">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西山体育公园</w:t>
            </w:r>
          </w:p>
        </w:tc>
        <w:tc>
          <w:tcPr>
            <w:tcW w:w="2864" w:type="dxa"/>
          </w:tcPr>
          <w:p w14:paraId="47C0EE54">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翁家大院</w:t>
            </w:r>
          </w:p>
          <w:p w14:paraId="500FE747">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绿色矿山博物馆</w:t>
            </w:r>
          </w:p>
          <w:p w14:paraId="5A2EACD5">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甬子峪少数民族特色村寨</w:t>
            </w:r>
          </w:p>
          <w:p w14:paraId="42408E43">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苇连湿地</w:t>
            </w:r>
          </w:p>
          <w:p w14:paraId="21CDF0B6">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永安知青部落</w:t>
            </w:r>
          </w:p>
          <w:p w14:paraId="623CEE1E">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尾矿坝越野营地</w:t>
            </w:r>
          </w:p>
          <w:p w14:paraId="10D8755E">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苗可秀故居</w:t>
            </w:r>
          </w:p>
          <w:p w14:paraId="614B8379">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钓鱼台地质奇观</w:t>
            </w:r>
          </w:p>
          <w:p w14:paraId="6DE1AF8B">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六四一厂军工洞</w:t>
            </w:r>
          </w:p>
          <w:p w14:paraId="53B78D2C">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石湖丛林探险主题乐园</w:t>
            </w:r>
          </w:p>
          <w:p w14:paraId="587770D0">
            <w:pPr>
              <w:widowControl w:val="0"/>
              <w:ind w:firstLine="0" w:firstLineChars="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白马寺古寺文化体验区</w:t>
            </w:r>
          </w:p>
        </w:tc>
      </w:tr>
    </w:tbl>
    <w:p w14:paraId="3666F6D5">
      <w:pPr>
        <w:ind w:firstLine="560"/>
        <w:rPr>
          <w:color w:val="auto"/>
          <w:highlight w:val="none"/>
        </w:rPr>
      </w:pPr>
      <w:r>
        <w:rPr>
          <w:rFonts w:hint="eastAsia"/>
          <w:color w:val="auto"/>
          <w:highlight w:val="none"/>
        </w:rPr>
        <w:t>2</w:t>
      </w:r>
      <w:r>
        <w:rPr>
          <w:color w:val="auto"/>
          <w:highlight w:val="none"/>
        </w:rPr>
        <w:t>.</w:t>
      </w:r>
      <w:r>
        <w:rPr>
          <w:rFonts w:hint="eastAsia"/>
          <w:color w:val="auto"/>
          <w:highlight w:val="none"/>
        </w:rPr>
        <w:t>打造全域化旅游</w:t>
      </w:r>
      <w:r>
        <w:rPr>
          <w:color w:val="auto"/>
          <w:highlight w:val="none"/>
        </w:rPr>
        <w:t>产品体系</w:t>
      </w:r>
    </w:p>
    <w:p w14:paraId="740BC527">
      <w:pPr>
        <w:ind w:firstLine="560"/>
        <w:rPr>
          <w:color w:val="auto"/>
          <w:highlight w:val="none"/>
        </w:rPr>
      </w:pPr>
      <w:r>
        <w:rPr>
          <w:rFonts w:hint="eastAsia"/>
          <w:color w:val="auto"/>
          <w:highlight w:val="none"/>
        </w:rPr>
        <w:t>通过项目升级打造，构建南芬区全域旅游“</w:t>
      </w:r>
      <w:r>
        <w:rPr>
          <w:color w:val="auto"/>
          <w:highlight w:val="none"/>
        </w:rPr>
        <w:t>1+5+N”产品体系。</w:t>
      </w:r>
    </w:p>
    <w:p w14:paraId="71563372">
      <w:pPr>
        <w:ind w:leftChars="-253" w:hanging="708" w:hangingChars="253"/>
        <w:rPr>
          <w:color w:val="auto"/>
          <w:highlight w:val="none"/>
        </w:rPr>
      </w:pPr>
      <w:r>
        <w:rPr>
          <w:color w:val="auto"/>
          <w:highlight w:val="none"/>
        </w:rPr>
        <w:drawing>
          <wp:inline distT="0" distB="0" distL="114300" distR="114300">
            <wp:extent cx="6305550" cy="3333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6329666" cy="3346335"/>
                    </a:xfrm>
                    <a:prstGeom prst="rect">
                      <a:avLst/>
                    </a:prstGeom>
                    <a:noFill/>
                    <a:ln>
                      <a:noFill/>
                    </a:ln>
                  </pic:spPr>
                </pic:pic>
              </a:graphicData>
            </a:graphic>
          </wp:inline>
        </w:drawing>
      </w:r>
    </w:p>
    <w:p w14:paraId="3D27AFAB">
      <w:pPr>
        <w:ind w:firstLine="560"/>
        <w:rPr>
          <w:color w:val="auto"/>
          <w:highlight w:val="none"/>
        </w:rPr>
      </w:pPr>
    </w:p>
    <w:p w14:paraId="1063C139">
      <w:pPr>
        <w:ind w:firstLine="560"/>
        <w:rPr>
          <w:color w:val="auto"/>
          <w:highlight w:val="none"/>
        </w:rPr>
      </w:pPr>
      <w:r>
        <w:rPr>
          <w:rFonts w:hint="eastAsia"/>
          <w:color w:val="auto"/>
          <w:highlight w:val="none"/>
        </w:rPr>
        <w:t>3</w:t>
      </w:r>
      <w:r>
        <w:rPr>
          <w:color w:val="auto"/>
          <w:highlight w:val="none"/>
        </w:rPr>
        <w:t>.</w:t>
      </w:r>
      <w:r>
        <w:rPr>
          <w:rFonts w:hint="eastAsia"/>
          <w:color w:val="auto"/>
          <w:highlight w:val="none"/>
        </w:rPr>
        <w:t>打造全域化旅游</w:t>
      </w:r>
      <w:r>
        <w:rPr>
          <w:color w:val="auto"/>
          <w:highlight w:val="none"/>
        </w:rPr>
        <w:t>游线规划</w:t>
      </w:r>
    </w:p>
    <w:p w14:paraId="0793890F">
      <w:pPr>
        <w:ind w:firstLine="560"/>
        <w:rPr>
          <w:color w:val="auto"/>
          <w:highlight w:val="none"/>
        </w:rPr>
      </w:pPr>
      <w:r>
        <w:rPr>
          <w:rFonts w:hint="eastAsia"/>
          <w:color w:val="auto"/>
          <w:highlight w:val="none"/>
        </w:rPr>
        <w:t>（1）本溪精品景区串联游</w:t>
      </w:r>
    </w:p>
    <w:p w14:paraId="3018F504">
      <w:pPr>
        <w:ind w:firstLine="560"/>
        <w:rPr>
          <w:color w:val="auto"/>
          <w:highlight w:val="none"/>
        </w:rPr>
      </w:pPr>
      <w:r>
        <w:rPr>
          <w:rFonts w:hint="eastAsia"/>
          <w:color w:val="auto"/>
          <w:highlight w:val="none"/>
        </w:rPr>
        <w:t>五女山风景区——望天洞风景区——佛顶山风景区——摩天岭风景区——铁刹山风景区——本溪水洞风景区——关门山国家森林公园——大冰沟国家森林公园——财神民俗文化旅游区——辽砚文化产业园——本溪大峡谷景区——五鼎山生态农业旅游区——汤沟风景区——大雅河漂流风景区——望天洞风景区</w:t>
      </w:r>
    </w:p>
    <w:p w14:paraId="324B690C">
      <w:pPr>
        <w:ind w:firstLine="560"/>
        <w:rPr>
          <w:color w:val="auto"/>
          <w:highlight w:val="none"/>
        </w:rPr>
      </w:pPr>
      <w:r>
        <w:rPr>
          <w:rFonts w:hint="eastAsia"/>
          <w:color w:val="auto"/>
          <w:highlight w:val="none"/>
        </w:rPr>
        <w:t>（2）南芬全域游</w:t>
      </w:r>
    </w:p>
    <w:p w14:paraId="7BFE01B8">
      <w:pPr>
        <w:ind w:firstLine="560"/>
        <w:rPr>
          <w:color w:val="auto"/>
          <w:highlight w:val="none"/>
        </w:rPr>
      </w:pPr>
      <w:r>
        <w:rPr>
          <w:rFonts w:hint="eastAsia"/>
          <w:color w:val="auto"/>
          <w:highlight w:val="none"/>
        </w:rPr>
        <w:t>大冰沟国家森林公园——苇连山湿地——宋家鱼湾——虹鳟鱼乡特色旅游小镇——财神民俗文化旅游区——青云山景区——石湖丛林主题乐园——绿色矿山博物馆——辽砚文化产业园——跃林山庄——本溪大峡谷景区——钓鱼台地质景观——尾矿坝越野营地——南天门红色旅游区——永安知青部落——西山体育公园——六四一厂军工洞——苗可秀故居——白马寺古寺文化体验区——北大山森林公园——五鼎山生态农业旅游区</w:t>
      </w:r>
    </w:p>
    <w:p w14:paraId="2FC88174">
      <w:pPr>
        <w:ind w:firstLine="560"/>
        <w:rPr>
          <w:color w:val="auto"/>
          <w:highlight w:val="none"/>
        </w:rPr>
      </w:pPr>
      <w:r>
        <w:rPr>
          <w:rFonts w:hint="eastAsia"/>
          <w:color w:val="auto"/>
          <w:highlight w:val="none"/>
        </w:rPr>
        <w:t>（3）南芬精品游</w:t>
      </w:r>
    </w:p>
    <w:p w14:paraId="2F4A6523">
      <w:pPr>
        <w:ind w:firstLine="560"/>
        <w:rPr>
          <w:color w:val="auto"/>
          <w:highlight w:val="none"/>
        </w:rPr>
      </w:pPr>
      <w:r>
        <w:rPr>
          <w:rFonts w:hint="eastAsia"/>
          <w:color w:val="auto"/>
          <w:highlight w:val="none"/>
        </w:rPr>
        <w:t>大冰沟国家森林公园——辽砚文化产业园——本溪大峡谷景区</w:t>
      </w:r>
    </w:p>
    <w:p w14:paraId="13BD5662">
      <w:pPr>
        <w:pStyle w:val="4"/>
        <w:ind w:firstLine="643"/>
        <w:rPr>
          <w:color w:val="auto"/>
          <w:highlight w:val="none"/>
        </w:rPr>
      </w:pPr>
      <w:bookmarkStart w:id="27" w:name="_Toc143701972"/>
      <w:r>
        <w:rPr>
          <w:color w:val="auto"/>
          <w:highlight w:val="none"/>
        </w:rPr>
        <w:t>第</w:t>
      </w:r>
      <w:r>
        <w:rPr>
          <w:rFonts w:hint="eastAsia"/>
          <w:color w:val="auto"/>
          <w:highlight w:val="none"/>
        </w:rPr>
        <w:t>三</w:t>
      </w:r>
      <w:r>
        <w:rPr>
          <w:color w:val="auto"/>
          <w:highlight w:val="none"/>
        </w:rPr>
        <w:t>节</w:t>
      </w:r>
      <w:r>
        <w:rPr>
          <w:rFonts w:hint="eastAsia"/>
          <w:color w:val="auto"/>
          <w:highlight w:val="none"/>
        </w:rPr>
        <w:t xml:space="preserve"> 促进旅游品牌服务全域化</w:t>
      </w:r>
      <w:bookmarkEnd w:id="27"/>
    </w:p>
    <w:p w14:paraId="41A78144">
      <w:pPr>
        <w:ind w:firstLine="560"/>
        <w:rPr>
          <w:color w:val="auto"/>
          <w:highlight w:val="none"/>
        </w:rPr>
      </w:pPr>
      <w:r>
        <w:rPr>
          <w:rFonts w:hint="eastAsia"/>
          <w:color w:val="auto"/>
          <w:highlight w:val="none"/>
        </w:rPr>
        <w:t>1</w:t>
      </w:r>
      <w:r>
        <w:rPr>
          <w:color w:val="auto"/>
          <w:highlight w:val="none"/>
        </w:rPr>
        <w:t>.全域公共服务</w:t>
      </w:r>
    </w:p>
    <w:p w14:paraId="7C8745F2">
      <w:pPr>
        <w:ind w:firstLine="560"/>
        <w:rPr>
          <w:color w:val="auto"/>
          <w:highlight w:val="none"/>
        </w:rPr>
      </w:pPr>
      <w:r>
        <w:rPr>
          <w:rFonts w:hint="eastAsia"/>
          <w:color w:val="auto"/>
          <w:highlight w:val="none"/>
        </w:rPr>
        <w:t>（1）全域服务旅游化</w:t>
      </w:r>
    </w:p>
    <w:p w14:paraId="21462A52">
      <w:pPr>
        <w:ind w:firstLine="560"/>
        <w:rPr>
          <w:color w:val="auto"/>
          <w:highlight w:val="none"/>
        </w:rPr>
      </w:pPr>
      <w:r>
        <w:rPr>
          <w:rFonts w:hint="eastAsia"/>
          <w:color w:val="auto"/>
          <w:highlight w:val="none"/>
        </w:rPr>
        <w:t>强化客运枢纽旅游服务功能，打造特色主题服务区，开展服务区景观营造，鼓励增设简易驿站，全力实施南芬“服务区革命”，实现全域服务区的旅游化建设。</w:t>
      </w:r>
    </w:p>
    <w:p w14:paraId="14099E25">
      <w:pPr>
        <w:ind w:firstLine="560"/>
        <w:rPr>
          <w:color w:val="auto"/>
          <w:highlight w:val="none"/>
        </w:rPr>
      </w:pPr>
      <w:r>
        <w:rPr>
          <w:rFonts w:hint="eastAsia"/>
          <w:color w:val="auto"/>
          <w:highlight w:val="none"/>
        </w:rPr>
        <w:t>（2）智慧旅游全覆盖</w:t>
      </w:r>
    </w:p>
    <w:p w14:paraId="7D52CC25">
      <w:pPr>
        <w:ind w:firstLine="560"/>
        <w:rPr>
          <w:color w:val="auto"/>
          <w:highlight w:val="none"/>
        </w:rPr>
      </w:pPr>
      <w:r>
        <w:rPr>
          <w:rFonts w:hint="eastAsia"/>
          <w:color w:val="auto"/>
          <w:highlight w:val="none"/>
        </w:rPr>
        <w:t>构建“一个中心</w:t>
      </w:r>
      <w:r>
        <w:rPr>
          <w:color w:val="auto"/>
          <w:highlight w:val="none"/>
        </w:rPr>
        <w:t>+三大应用体系”的智慧旅游全覆盖工程。一个中心即南芬旅游云数据中心；三大应用体系即全域旅游营销应用体系、旅游公共服务应用体系、旅游行业管理应用体系。</w:t>
      </w:r>
    </w:p>
    <w:p w14:paraId="7F76F94D">
      <w:pPr>
        <w:ind w:firstLine="560"/>
        <w:rPr>
          <w:color w:val="auto"/>
          <w:highlight w:val="none"/>
        </w:rPr>
      </w:pPr>
      <w:r>
        <w:rPr>
          <w:rFonts w:hint="eastAsia"/>
          <w:color w:val="auto"/>
          <w:highlight w:val="none"/>
        </w:rPr>
        <w:t>将游客、居民、旅游企业、文旅局接入云服务，创建智慧旅游大平台。建设线上公共信息服务系统和智慧化旅游业态服务系统，实现服务系统智能化。</w:t>
      </w:r>
    </w:p>
    <w:p w14:paraId="6D8432DD">
      <w:pPr>
        <w:ind w:firstLine="560"/>
        <w:rPr>
          <w:color w:val="auto"/>
          <w:highlight w:val="none"/>
        </w:rPr>
      </w:pPr>
      <w:r>
        <w:rPr>
          <w:rFonts w:hint="eastAsia"/>
          <w:color w:val="auto"/>
          <w:highlight w:val="none"/>
        </w:rPr>
        <w:t>（3）全域服务设施网络化</w:t>
      </w:r>
    </w:p>
    <w:p w14:paraId="3F58DEC3">
      <w:pPr>
        <w:ind w:firstLine="560"/>
        <w:rPr>
          <w:color w:val="auto"/>
          <w:highlight w:val="none"/>
        </w:rPr>
      </w:pPr>
      <w:r>
        <w:rPr>
          <w:rFonts w:hint="eastAsia"/>
          <w:color w:val="auto"/>
          <w:highlight w:val="none"/>
        </w:rPr>
        <w:t>在全区建立“</w:t>
      </w:r>
      <w:r>
        <w:rPr>
          <w:color w:val="auto"/>
          <w:highlight w:val="none"/>
        </w:rPr>
        <w:t>1+N”大旅游集散服务体系，其中1个一级旅游集散中心：辽砚博物馆旅游集散中心，结合景区游客中心、交通枢纽、旅游公路驿站等建立N个旅游服务点，打造“1+N”大旅游集散服务体系。</w:t>
      </w:r>
    </w:p>
    <w:p w14:paraId="1CEABB2E">
      <w:pPr>
        <w:ind w:firstLine="560"/>
        <w:rPr>
          <w:color w:val="auto"/>
          <w:highlight w:val="none"/>
        </w:rPr>
      </w:pPr>
      <w:r>
        <w:rPr>
          <w:rFonts w:hint="eastAsia"/>
          <w:color w:val="auto"/>
          <w:highlight w:val="none"/>
        </w:rPr>
        <w:t>积极完善旅游厕所配套设施及服务水平，高质量完成“厕所革命”。</w:t>
      </w:r>
    </w:p>
    <w:p w14:paraId="3AC59E13">
      <w:pPr>
        <w:ind w:firstLine="560"/>
        <w:rPr>
          <w:color w:val="auto"/>
          <w:highlight w:val="none"/>
        </w:rPr>
      </w:pPr>
      <w:r>
        <w:rPr>
          <w:rFonts w:hint="eastAsia"/>
          <w:color w:val="auto"/>
          <w:highlight w:val="none"/>
        </w:rPr>
        <w:t>（4）全域服务设施网络化</w:t>
      </w:r>
    </w:p>
    <w:p w14:paraId="57542E65">
      <w:pPr>
        <w:ind w:firstLine="560"/>
        <w:rPr>
          <w:color w:val="auto"/>
          <w:highlight w:val="none"/>
        </w:rPr>
      </w:pPr>
      <w:r>
        <w:rPr>
          <w:rFonts w:hint="eastAsia"/>
          <w:color w:val="auto"/>
          <w:highlight w:val="none"/>
        </w:rPr>
        <w:t>提升旅游交通网络及配套设施，打造南芬文明旅游形象的重要展示窗口。完善交通设施及停车场设施，增加通达度。</w:t>
      </w:r>
    </w:p>
    <w:p w14:paraId="41EC5968">
      <w:pPr>
        <w:ind w:firstLine="560"/>
        <w:rPr>
          <w:color w:val="auto"/>
          <w:highlight w:val="none"/>
        </w:rPr>
      </w:pPr>
      <w:r>
        <w:rPr>
          <w:rFonts w:hint="eastAsia"/>
          <w:color w:val="auto"/>
          <w:highlight w:val="none"/>
        </w:rPr>
        <w:t>2</w:t>
      </w:r>
      <w:r>
        <w:rPr>
          <w:color w:val="auto"/>
          <w:highlight w:val="none"/>
        </w:rPr>
        <w:t>.全域产业融合</w:t>
      </w:r>
    </w:p>
    <w:p w14:paraId="34E0ABDD">
      <w:pPr>
        <w:ind w:firstLine="560"/>
        <w:rPr>
          <w:color w:val="auto"/>
          <w:highlight w:val="none"/>
        </w:rPr>
      </w:pPr>
      <w:r>
        <w:rPr>
          <w:rFonts w:hint="eastAsia"/>
          <w:color w:val="auto"/>
          <w:highlight w:val="none"/>
        </w:rPr>
        <w:t>（</w:t>
      </w:r>
      <w:r>
        <w:rPr>
          <w:color w:val="auto"/>
          <w:highlight w:val="none"/>
        </w:rPr>
        <w:t>1</w:t>
      </w:r>
      <w:r>
        <w:rPr>
          <w:rFonts w:hint="eastAsia"/>
          <w:color w:val="auto"/>
          <w:highlight w:val="none"/>
        </w:rPr>
        <w:t>）全业体系构建思路</w:t>
      </w:r>
    </w:p>
    <w:p w14:paraId="489BE0D9">
      <w:pPr>
        <w:ind w:firstLine="560"/>
        <w:rPr>
          <w:color w:val="auto"/>
          <w:highlight w:val="none"/>
        </w:rPr>
      </w:pPr>
      <w:r>
        <w:rPr>
          <w:rFonts w:hint="eastAsia"/>
          <w:color w:val="auto"/>
          <w:highlight w:val="none"/>
        </w:rPr>
        <w:t>通过“寻吸引－配要素－拓功能”三步举措，进行“旅游</w:t>
      </w:r>
      <w:r>
        <w:rPr>
          <w:color w:val="auto"/>
          <w:highlight w:val="none"/>
        </w:rPr>
        <w:t>+” 拓展，打造不同主题的旅游形式。</w:t>
      </w:r>
    </w:p>
    <w:p w14:paraId="72B2C4ED">
      <w:pPr>
        <w:ind w:firstLine="560"/>
        <w:rPr>
          <w:color w:val="auto"/>
          <w:highlight w:val="none"/>
        </w:rPr>
      </w:pPr>
      <w:r>
        <w:rPr>
          <w:rFonts w:hint="eastAsia"/>
          <w:color w:val="auto"/>
          <w:highlight w:val="none"/>
        </w:rPr>
        <w:t>（2）产业融合“旅游</w:t>
      </w:r>
      <w:r>
        <w:rPr>
          <w:color w:val="auto"/>
          <w:highlight w:val="none"/>
        </w:rPr>
        <w:t>+”</w:t>
      </w:r>
    </w:p>
    <w:p w14:paraId="266D2914">
      <w:pPr>
        <w:ind w:firstLine="560"/>
        <w:rPr>
          <w:color w:val="auto"/>
          <w:highlight w:val="none"/>
        </w:rPr>
      </w:pPr>
      <w:r>
        <w:rPr>
          <w:rFonts w:hint="eastAsia"/>
          <w:color w:val="auto"/>
          <w:highlight w:val="none"/>
        </w:rPr>
        <w:t>旅游</w:t>
      </w:r>
      <w:r>
        <w:rPr>
          <w:color w:val="auto"/>
          <w:highlight w:val="none"/>
        </w:rPr>
        <w:t>+文化——深挖辽砚文化，打造辽砚文化产业园；深挖历史文</w:t>
      </w:r>
    </w:p>
    <w:p w14:paraId="2C746DAE">
      <w:pPr>
        <w:ind w:firstLine="560"/>
        <w:rPr>
          <w:color w:val="auto"/>
          <w:highlight w:val="none"/>
        </w:rPr>
      </w:pPr>
      <w:r>
        <w:rPr>
          <w:rFonts w:hint="eastAsia"/>
          <w:color w:val="auto"/>
          <w:highlight w:val="none"/>
        </w:rPr>
        <w:t>化资源，编排一台大型文艺演艺剧目定点演出，通过市场化手段，实现与景区合作共赢；深挖红色文化资源，大力弘扬抗联精神，培育红色经典景区，创作一台戏、设计开发一套纪念品，规划设计红旅精品线路，打造“抗联”品牌；深挖民俗文化，打造若干具有民俗吸引力的活动。</w:t>
      </w:r>
    </w:p>
    <w:p w14:paraId="2E77C54F">
      <w:pPr>
        <w:ind w:firstLine="560"/>
        <w:rPr>
          <w:color w:val="auto"/>
          <w:highlight w:val="none"/>
        </w:rPr>
      </w:pPr>
      <w:r>
        <w:rPr>
          <w:rFonts w:hint="eastAsia"/>
          <w:color w:val="auto"/>
          <w:highlight w:val="none"/>
        </w:rPr>
        <w:t>旅游</w:t>
      </w:r>
      <w:r>
        <w:rPr>
          <w:color w:val="auto"/>
          <w:highlight w:val="none"/>
        </w:rPr>
        <w:t>+农业——大力实施“农旅”融合发展战略，深入推进现代农业和旅游业融合发展。林果与旅游融合发展为水果庄园、传统农业体验园、现代农业示范园。养殖与旅游融合发展为观光旅游养殖产业带、科研教育基地、有机农业食品。光伏农业与旅游融合发展为光伏大棚种植和光伏养殖等光伏农业发展模式与观光农业结合。</w:t>
      </w:r>
    </w:p>
    <w:p w14:paraId="326E8BF7">
      <w:pPr>
        <w:ind w:firstLine="560"/>
        <w:rPr>
          <w:color w:val="auto"/>
          <w:highlight w:val="none"/>
        </w:rPr>
      </w:pPr>
      <w:r>
        <w:rPr>
          <w:rFonts w:hint="eastAsia"/>
          <w:color w:val="auto"/>
          <w:highlight w:val="none"/>
        </w:rPr>
        <w:t>旅游</w:t>
      </w:r>
      <w:r>
        <w:rPr>
          <w:color w:val="auto"/>
          <w:highlight w:val="none"/>
        </w:rPr>
        <w:t>+体育——积极探索引进“体旅”专业机构，加快培育体育旅游品牌。南芬区启动户外徒步运动基地建设，打造省级户外运动示范基地。</w:t>
      </w:r>
    </w:p>
    <w:p w14:paraId="3F78B84E">
      <w:pPr>
        <w:ind w:firstLine="560"/>
        <w:rPr>
          <w:color w:val="auto"/>
          <w:highlight w:val="none"/>
        </w:rPr>
      </w:pPr>
      <w:r>
        <w:rPr>
          <w:rFonts w:hint="eastAsia"/>
          <w:color w:val="auto"/>
          <w:highlight w:val="none"/>
        </w:rPr>
        <w:t>（3）产业要素升级</w:t>
      </w:r>
    </w:p>
    <w:p w14:paraId="51D876D2">
      <w:pPr>
        <w:ind w:firstLine="560"/>
        <w:rPr>
          <w:color w:val="auto"/>
          <w:highlight w:val="none"/>
        </w:rPr>
      </w:pPr>
      <w:r>
        <w:rPr>
          <w:rFonts w:hint="eastAsia"/>
          <w:color w:val="auto"/>
          <w:highlight w:val="none"/>
        </w:rPr>
        <w:t>特色美食产业化、休闲娱乐体系化、创意旅游商品产业化、旅游服务和监管智慧化、旅游交通系统主题化、住宿设施建设特色化，让游客吃得放心、玩得开心、购得畅心、游得安心、住得舒心、行得顺心，“六心服务”</w:t>
      </w:r>
      <w:r>
        <w:rPr>
          <w:color w:val="auto"/>
          <w:highlight w:val="none"/>
        </w:rPr>
        <w:t xml:space="preserve"> 提升南芬全域要素特色。</w:t>
      </w:r>
    </w:p>
    <w:p w14:paraId="210C182A">
      <w:pPr>
        <w:ind w:firstLine="560"/>
        <w:rPr>
          <w:color w:val="auto"/>
          <w:highlight w:val="none"/>
        </w:rPr>
      </w:pPr>
      <w:r>
        <w:rPr>
          <w:rFonts w:hint="eastAsia"/>
          <w:color w:val="auto"/>
          <w:highlight w:val="none"/>
        </w:rPr>
        <w:t>3</w:t>
      </w:r>
      <w:r>
        <w:rPr>
          <w:color w:val="auto"/>
          <w:highlight w:val="none"/>
        </w:rPr>
        <w:t>.全域优质服务</w:t>
      </w:r>
    </w:p>
    <w:p w14:paraId="64A19054">
      <w:pPr>
        <w:ind w:firstLine="560"/>
        <w:rPr>
          <w:color w:val="auto"/>
          <w:highlight w:val="none"/>
        </w:rPr>
      </w:pPr>
      <w:r>
        <w:rPr>
          <w:rFonts w:hint="eastAsia"/>
          <w:color w:val="auto"/>
          <w:highlight w:val="none"/>
        </w:rPr>
        <w:t>（1）提升服务品质</w:t>
      </w:r>
    </w:p>
    <w:p w14:paraId="3E24E370">
      <w:pPr>
        <w:ind w:firstLine="560"/>
        <w:rPr>
          <w:color w:val="auto"/>
          <w:highlight w:val="none"/>
        </w:rPr>
      </w:pPr>
      <w:r>
        <w:rPr>
          <w:rFonts w:hint="eastAsia"/>
          <w:color w:val="auto"/>
          <w:highlight w:val="none"/>
        </w:rPr>
        <w:t>推进标准化服务示范，树立旅游服务质量标杆引领，构建定制化服务示范，提升旅游人才服务水平，打造和完善旅游软环境，大力提升旅游品质，提供世界一流水准的服务。</w:t>
      </w:r>
    </w:p>
    <w:p w14:paraId="52460093">
      <w:pPr>
        <w:ind w:firstLine="560"/>
        <w:rPr>
          <w:color w:val="auto"/>
          <w:highlight w:val="none"/>
        </w:rPr>
      </w:pPr>
      <w:r>
        <w:rPr>
          <w:rFonts w:hint="eastAsia"/>
          <w:color w:val="auto"/>
          <w:highlight w:val="none"/>
        </w:rPr>
        <w:t>（2）推广旅游服务活动</w:t>
      </w:r>
    </w:p>
    <w:p w14:paraId="2B07C06C">
      <w:pPr>
        <w:ind w:firstLine="560"/>
        <w:rPr>
          <w:color w:val="auto"/>
          <w:highlight w:val="none"/>
        </w:rPr>
      </w:pPr>
      <w:r>
        <w:rPr>
          <w:rFonts w:hint="eastAsia"/>
          <w:color w:val="auto"/>
          <w:highlight w:val="none"/>
        </w:rPr>
        <w:t>推行“微笑服务”活动、“志愿者服务”活动、“服务质量主题”活动。力推三大活动，推进南芬旅游软实力出彩。</w:t>
      </w:r>
    </w:p>
    <w:p w14:paraId="72F78823">
      <w:pPr>
        <w:ind w:firstLine="560"/>
        <w:rPr>
          <w:color w:val="auto"/>
          <w:highlight w:val="none"/>
        </w:rPr>
      </w:pPr>
      <w:r>
        <w:rPr>
          <w:rFonts w:hint="eastAsia"/>
          <w:color w:val="auto"/>
          <w:highlight w:val="none"/>
        </w:rPr>
        <w:t>4</w:t>
      </w:r>
      <w:r>
        <w:rPr>
          <w:color w:val="auto"/>
          <w:highlight w:val="none"/>
        </w:rPr>
        <w:t>.全体制机制改革</w:t>
      </w:r>
    </w:p>
    <w:p w14:paraId="14A786CC">
      <w:pPr>
        <w:ind w:firstLine="560"/>
        <w:rPr>
          <w:color w:val="auto"/>
          <w:highlight w:val="none"/>
        </w:rPr>
      </w:pPr>
      <w:r>
        <w:rPr>
          <w:rFonts w:hint="eastAsia"/>
          <w:color w:val="auto"/>
          <w:highlight w:val="none"/>
        </w:rPr>
        <w:t>（</w:t>
      </w:r>
      <w:r>
        <w:rPr>
          <w:color w:val="auto"/>
          <w:highlight w:val="none"/>
        </w:rPr>
        <w:t>1</w:t>
      </w:r>
      <w:r>
        <w:rPr>
          <w:rFonts w:hint="eastAsia"/>
          <w:color w:val="auto"/>
          <w:highlight w:val="none"/>
        </w:rPr>
        <w:t>）创建全域旅游治理体系</w:t>
      </w:r>
    </w:p>
    <w:p w14:paraId="26063741">
      <w:pPr>
        <w:ind w:firstLine="560"/>
        <w:rPr>
          <w:color w:val="auto"/>
          <w:highlight w:val="none"/>
        </w:rPr>
      </w:pPr>
      <w:r>
        <w:rPr>
          <w:rFonts w:hint="eastAsia"/>
          <w:color w:val="auto"/>
          <w:highlight w:val="none"/>
        </w:rPr>
        <w:t>提升文旅管理服务水平，构建全域旅游治理机构，重点对接统筹</w:t>
      </w:r>
      <w:r>
        <w:rPr>
          <w:color w:val="auto"/>
          <w:highlight w:val="none"/>
        </w:rPr>
        <w:t xml:space="preserve"> 协调旅游业发展、旅游要素国际化改造、旅游产业经济运行监测和促 进与旅游产业相适应的产业规划四大职能，实施“1＋5＋X”全域旅游治理体制，提升南芬文旅管理服务水平。</w:t>
      </w:r>
    </w:p>
    <w:p w14:paraId="621B9857">
      <w:pPr>
        <w:ind w:firstLine="560"/>
        <w:rPr>
          <w:color w:val="auto"/>
          <w:highlight w:val="none"/>
        </w:rPr>
      </w:pPr>
      <w:r>
        <w:rPr>
          <w:rFonts w:hint="eastAsia"/>
          <w:color w:val="auto"/>
          <w:highlight w:val="none"/>
        </w:rPr>
        <w:t>（2）营造旅游发展环境</w:t>
      </w:r>
    </w:p>
    <w:p w14:paraId="5E3E2B4F">
      <w:pPr>
        <w:ind w:firstLine="560"/>
        <w:rPr>
          <w:color w:val="auto"/>
          <w:highlight w:val="none"/>
        </w:rPr>
      </w:pPr>
      <w:r>
        <w:rPr>
          <w:rFonts w:hint="eastAsia"/>
          <w:color w:val="auto"/>
          <w:highlight w:val="none"/>
        </w:rPr>
        <w:t>充分发挥南芬区文旅局综合协调职能，主动与各部门对接，深化改革、强化监管，营造一流的旅游发展环境。</w:t>
      </w:r>
    </w:p>
    <w:p w14:paraId="026C6108">
      <w:pPr>
        <w:ind w:firstLine="560"/>
        <w:rPr>
          <w:color w:val="auto"/>
          <w:highlight w:val="none"/>
        </w:rPr>
      </w:pPr>
      <w:r>
        <w:rPr>
          <w:rFonts w:hint="eastAsia"/>
          <w:color w:val="auto"/>
          <w:highlight w:val="none"/>
        </w:rPr>
        <w:t>（3）建立旅游工作联席会议制度</w:t>
      </w:r>
    </w:p>
    <w:p w14:paraId="3D59FE77">
      <w:pPr>
        <w:ind w:firstLine="560"/>
        <w:rPr>
          <w:color w:val="auto"/>
          <w:highlight w:val="none"/>
        </w:rPr>
      </w:pPr>
      <w:r>
        <w:rPr>
          <w:rFonts w:hint="eastAsia"/>
          <w:color w:val="auto"/>
          <w:highlight w:val="none"/>
        </w:rPr>
        <w:t>建立南芬全域旅游工作联席会议制度，完善会议职能、</w:t>
      </w:r>
      <w:r>
        <w:rPr>
          <w:rFonts w:hint="eastAsia"/>
          <w:color w:val="auto"/>
          <w:highlight w:val="none"/>
          <w:lang w:eastAsia="zh-CN"/>
        </w:rPr>
        <w:t>工作职责</w:t>
      </w:r>
      <w:r>
        <w:rPr>
          <w:rFonts w:hint="eastAsia"/>
          <w:color w:val="auto"/>
          <w:highlight w:val="none"/>
        </w:rPr>
        <w:t>、要求。</w:t>
      </w:r>
    </w:p>
    <w:p w14:paraId="08EEAB08">
      <w:pPr>
        <w:ind w:firstLine="560"/>
        <w:rPr>
          <w:color w:val="auto"/>
          <w:highlight w:val="none"/>
        </w:rPr>
      </w:pPr>
      <w:r>
        <w:rPr>
          <w:rFonts w:hint="eastAsia"/>
          <w:color w:val="auto"/>
          <w:highlight w:val="none"/>
        </w:rPr>
        <w:t>（4）落实考核激励机制</w:t>
      </w:r>
    </w:p>
    <w:p w14:paraId="708F8E33">
      <w:pPr>
        <w:ind w:firstLine="560"/>
        <w:rPr>
          <w:color w:val="auto"/>
          <w:highlight w:val="none"/>
        </w:rPr>
      </w:pPr>
      <w:r>
        <w:rPr>
          <w:rFonts w:hint="eastAsia"/>
          <w:color w:val="auto"/>
          <w:highlight w:val="none"/>
        </w:rPr>
        <w:t>积极落实对各部门的旅游工作考核激励机制，调动工作积极性。</w:t>
      </w:r>
    </w:p>
    <w:p w14:paraId="46E84667">
      <w:pPr>
        <w:ind w:firstLine="560"/>
        <w:rPr>
          <w:color w:val="auto"/>
          <w:highlight w:val="none"/>
        </w:rPr>
      </w:pPr>
      <w:r>
        <w:rPr>
          <w:color w:val="auto"/>
          <w:highlight w:val="none"/>
        </w:rPr>
        <w:t>2025年，年接待游客总量超过800万人次，旅游服务业总产值达到7.8亿元，建成国家文化产业和旅游产业融合发展示范区。</w:t>
      </w:r>
    </w:p>
    <w:p w14:paraId="266DF268">
      <w:pPr>
        <w:pStyle w:val="4"/>
        <w:ind w:firstLine="643"/>
        <w:rPr>
          <w:color w:val="auto"/>
          <w:highlight w:val="none"/>
        </w:rPr>
      </w:pPr>
      <w:bookmarkStart w:id="28" w:name="_Toc143701973"/>
      <w:r>
        <w:rPr>
          <w:color w:val="auto"/>
          <w:highlight w:val="none"/>
        </w:rPr>
        <w:t>第</w:t>
      </w:r>
      <w:r>
        <w:rPr>
          <w:rFonts w:hint="eastAsia"/>
          <w:color w:val="auto"/>
          <w:highlight w:val="none"/>
        </w:rPr>
        <w:t>四</w:t>
      </w:r>
      <w:r>
        <w:rPr>
          <w:color w:val="auto"/>
          <w:highlight w:val="none"/>
        </w:rPr>
        <w:t>节</w:t>
      </w:r>
      <w:r>
        <w:rPr>
          <w:rFonts w:hint="eastAsia"/>
          <w:color w:val="auto"/>
          <w:highlight w:val="none"/>
        </w:rPr>
        <w:t xml:space="preserve"> 增强服务产业发展新动力</w:t>
      </w:r>
      <w:bookmarkEnd w:id="28"/>
    </w:p>
    <w:p w14:paraId="26EAB4A4">
      <w:pPr>
        <w:ind w:firstLine="560"/>
        <w:rPr>
          <w:color w:val="auto"/>
          <w:highlight w:val="none"/>
        </w:rPr>
      </w:pPr>
      <w:r>
        <w:rPr>
          <w:rFonts w:hint="eastAsia"/>
          <w:color w:val="auto"/>
          <w:highlight w:val="none"/>
        </w:rPr>
        <w:t>1</w:t>
      </w:r>
      <w:r>
        <w:rPr>
          <w:color w:val="auto"/>
          <w:highlight w:val="none"/>
        </w:rPr>
        <w:t>.产品供给多元化</w:t>
      </w:r>
    </w:p>
    <w:p w14:paraId="02F4F46B">
      <w:pPr>
        <w:ind w:firstLine="560"/>
        <w:rPr>
          <w:color w:val="auto"/>
          <w:highlight w:val="none"/>
        </w:rPr>
      </w:pPr>
      <w:r>
        <w:rPr>
          <w:rFonts w:hint="eastAsia"/>
          <w:color w:val="auto"/>
          <w:highlight w:val="none"/>
        </w:rPr>
        <w:t>引擎景区带动——依托大冰沟国家森林公园、本溪大峡谷景区、辽砚文化产业园等龙头景区作为吸引核和动力源，配置旅游产品和新业态，部署基础设施和公共服务设施，带动旅游业一体化发展。</w:t>
      </w:r>
    </w:p>
    <w:p w14:paraId="290F7AA6">
      <w:pPr>
        <w:ind w:firstLine="560"/>
        <w:rPr>
          <w:color w:val="auto"/>
          <w:highlight w:val="none"/>
        </w:rPr>
      </w:pPr>
      <w:r>
        <w:rPr>
          <w:rFonts w:hint="eastAsia"/>
          <w:color w:val="auto"/>
          <w:highlight w:val="none"/>
        </w:rPr>
        <w:t>产业深度融合——以“旅游</w:t>
      </w:r>
      <w:r>
        <w:rPr>
          <w:color w:val="auto"/>
          <w:highlight w:val="none"/>
        </w:rPr>
        <w:t>+” 为途径，推进旅游业与南芬文化、现代农业、体育等产业的深度融合，开发出一批生态旅游、文化体验、休闲农业、康体养生、体育旅游等多元业态产品，进一步提升南芬旅游业整体竞争力。</w:t>
      </w:r>
    </w:p>
    <w:p w14:paraId="3AB4943F">
      <w:pPr>
        <w:ind w:firstLine="560"/>
        <w:rPr>
          <w:color w:val="auto"/>
          <w:highlight w:val="none"/>
        </w:rPr>
      </w:pPr>
      <w:r>
        <w:rPr>
          <w:rFonts w:hint="eastAsia"/>
          <w:color w:val="auto"/>
          <w:highlight w:val="none"/>
        </w:rPr>
        <w:t>公共服务升级——加大旅游交通网络体系构建，实现全域畅通；加强旅游交通服务方式创新；加强咨询服务体制机制创新；加强“厕所革命”创新；加强环境卫生创新等。</w:t>
      </w:r>
    </w:p>
    <w:p w14:paraId="62C7C704">
      <w:pPr>
        <w:ind w:firstLine="560"/>
        <w:rPr>
          <w:color w:val="auto"/>
          <w:highlight w:val="none"/>
        </w:rPr>
      </w:pPr>
      <w:r>
        <w:rPr>
          <w:rFonts w:hint="eastAsia"/>
          <w:color w:val="auto"/>
          <w:highlight w:val="none"/>
        </w:rPr>
        <w:t>2</w:t>
      </w:r>
      <w:r>
        <w:rPr>
          <w:color w:val="auto"/>
          <w:highlight w:val="none"/>
        </w:rPr>
        <w:t>.生态为本</w:t>
      </w:r>
    </w:p>
    <w:p w14:paraId="52A3B796">
      <w:pPr>
        <w:ind w:firstLine="560"/>
        <w:rPr>
          <w:color w:val="auto"/>
          <w:highlight w:val="none"/>
        </w:rPr>
      </w:pPr>
      <w:r>
        <w:rPr>
          <w:rFonts w:hint="eastAsia"/>
          <w:color w:val="auto"/>
          <w:highlight w:val="none"/>
        </w:rPr>
        <w:t>以“生态立区”为理念，构建乐享、乐砚、乐山、乐乡“四乐体系”支撑的全域乐享生活旅游模式。创新实现城市从矿产重镇向绿色景城的转变。</w:t>
      </w:r>
    </w:p>
    <w:p w14:paraId="781E99AE">
      <w:pPr>
        <w:ind w:firstLine="560"/>
        <w:rPr>
          <w:color w:val="auto"/>
          <w:highlight w:val="none"/>
        </w:rPr>
      </w:pPr>
      <w:r>
        <w:rPr>
          <w:rFonts w:hint="eastAsia"/>
          <w:color w:val="auto"/>
          <w:highlight w:val="none"/>
        </w:rPr>
        <w:t>3</w:t>
      </w:r>
      <w:r>
        <w:rPr>
          <w:color w:val="auto"/>
          <w:highlight w:val="none"/>
        </w:rPr>
        <w:t>.全体制创新</w:t>
      </w:r>
    </w:p>
    <w:p w14:paraId="7EE8A42A">
      <w:pPr>
        <w:ind w:firstLine="560"/>
        <w:rPr>
          <w:color w:val="auto"/>
          <w:highlight w:val="none"/>
        </w:rPr>
      </w:pPr>
      <w:r>
        <w:rPr>
          <w:rFonts w:hint="eastAsia"/>
          <w:color w:val="auto"/>
          <w:highlight w:val="none"/>
        </w:rPr>
        <w:t>领导机制创新——创建南芬区“国家全域旅游示范区”专班；开展“三抓三促”工作；成立南芬区扫黑除恶专项斗争工作领导小组办公室工作组；成立南芬区旅游市场联合执法领导小组。</w:t>
      </w:r>
    </w:p>
    <w:p w14:paraId="2DC11E6B">
      <w:pPr>
        <w:ind w:firstLine="560"/>
        <w:rPr>
          <w:color w:val="auto"/>
          <w:highlight w:val="none"/>
        </w:rPr>
      </w:pPr>
      <w:r>
        <w:rPr>
          <w:rFonts w:hint="eastAsia"/>
          <w:color w:val="auto"/>
          <w:highlight w:val="none"/>
        </w:rPr>
        <w:t>协调机制创新——成立“联席会议”制度；建设“联合执法”机制；成立“生态立区”专班机制。</w:t>
      </w:r>
    </w:p>
    <w:p w14:paraId="5C643E9A">
      <w:pPr>
        <w:ind w:firstLine="560"/>
        <w:rPr>
          <w:color w:val="auto"/>
          <w:highlight w:val="none"/>
        </w:rPr>
      </w:pPr>
      <w:r>
        <w:rPr>
          <w:rFonts w:hint="eastAsia"/>
          <w:color w:val="auto"/>
          <w:highlight w:val="none"/>
        </w:rPr>
        <w:t>市场机制创新——联合营销机制，成立《南芬区旅游营销专项工作联席会议制度》；活动联办机制，与泰州、兴化等城市合作，进行客源互换、活动联办，扩大市场营销平台；营销奖励机制，印发《南芬区促进旅游产业发展奖励暂行办法》，对旅游推介、营销宣传明确奖励机制；安全管理机制，加强旅游市场和景区安全管理和监督。</w:t>
      </w:r>
    </w:p>
    <w:p w14:paraId="440FBBF5">
      <w:pPr>
        <w:ind w:firstLine="560"/>
        <w:rPr>
          <w:color w:val="auto"/>
          <w:highlight w:val="none"/>
        </w:rPr>
      </w:pPr>
      <w:r>
        <w:rPr>
          <w:rFonts w:hint="eastAsia"/>
          <w:color w:val="auto"/>
          <w:highlight w:val="none"/>
        </w:rPr>
        <w:t>4</w:t>
      </w:r>
      <w:r>
        <w:rPr>
          <w:color w:val="auto"/>
          <w:highlight w:val="none"/>
        </w:rPr>
        <w:t>.举措创新</w:t>
      </w:r>
    </w:p>
    <w:p w14:paraId="7C93EAA5">
      <w:pPr>
        <w:ind w:firstLine="560"/>
        <w:rPr>
          <w:color w:val="auto"/>
          <w:highlight w:val="none"/>
        </w:rPr>
      </w:pPr>
      <w:r>
        <w:rPr>
          <w:rFonts w:hint="eastAsia"/>
          <w:color w:val="auto"/>
          <w:highlight w:val="none"/>
        </w:rPr>
        <w:t>构建全域旅游发展新格局——统筹全域环境打造，强化区域旅游资源统筹开发，统筹全域整合营销。</w:t>
      </w:r>
    </w:p>
    <w:p w14:paraId="0B957B68">
      <w:pPr>
        <w:ind w:firstLine="560"/>
        <w:rPr>
          <w:color w:val="auto"/>
          <w:highlight w:val="none"/>
        </w:rPr>
      </w:pPr>
      <w:r>
        <w:rPr>
          <w:rFonts w:hint="eastAsia"/>
          <w:color w:val="auto"/>
          <w:highlight w:val="none"/>
        </w:rPr>
        <w:t>构建全域旅游发展新平台——实施强企发展战略，加快培育特色涉旅企业集团。加大招商引资力度，全力助推本溪大旅游产业发展规划中的重点项目建设。加快推进景区品质提升，加快推进特色旅游小镇建设，实施美丽乡村建设。</w:t>
      </w:r>
    </w:p>
    <w:p w14:paraId="3F120863">
      <w:pPr>
        <w:ind w:firstLine="560"/>
        <w:rPr>
          <w:color w:val="auto"/>
          <w:highlight w:val="none"/>
        </w:rPr>
      </w:pPr>
      <w:r>
        <w:rPr>
          <w:rFonts w:hint="eastAsia"/>
          <w:color w:val="auto"/>
          <w:highlight w:val="none"/>
        </w:rPr>
        <w:t>实施“</w:t>
      </w:r>
      <w:r>
        <w:rPr>
          <w:color w:val="auto"/>
          <w:highlight w:val="none"/>
        </w:rPr>
        <w:t>+旅游”促产业融合发展——推进“农业+旅游”、“文化+旅游”、“体育+旅游”、“养生+旅游”融合发展。</w:t>
      </w:r>
    </w:p>
    <w:p w14:paraId="296EFC14">
      <w:pPr>
        <w:ind w:firstLine="560"/>
        <w:rPr>
          <w:color w:val="auto"/>
          <w:highlight w:val="none"/>
        </w:rPr>
      </w:pPr>
      <w:r>
        <w:rPr>
          <w:rFonts w:hint="eastAsia"/>
          <w:color w:val="auto"/>
          <w:highlight w:val="none"/>
        </w:rPr>
        <w:t>完善全域旅游配套设施——构建旅游交通网络；完善旅游标识系统和集散咨询服务体系；推进旅游厕所建设；丰富旅游要素配套。</w:t>
      </w:r>
    </w:p>
    <w:p w14:paraId="0F57D2F2">
      <w:pPr>
        <w:ind w:firstLine="560"/>
        <w:rPr>
          <w:color w:val="auto"/>
          <w:highlight w:val="none"/>
        </w:rPr>
      </w:pPr>
      <w:r>
        <w:rPr>
          <w:rFonts w:hint="eastAsia"/>
          <w:color w:val="auto"/>
          <w:highlight w:val="none"/>
        </w:rPr>
        <w:t>构建全域旅游智慧发展平台——助力全区建设智慧旅游服务平台和旅游移动端服务平台，创新旅游统计指标体系。</w:t>
      </w:r>
    </w:p>
    <w:p w14:paraId="056E5845">
      <w:pPr>
        <w:ind w:firstLine="560"/>
        <w:rPr>
          <w:color w:val="auto"/>
          <w:highlight w:val="none"/>
        </w:rPr>
      </w:pPr>
      <w:r>
        <w:rPr>
          <w:rFonts w:hint="eastAsia"/>
          <w:color w:val="auto"/>
          <w:highlight w:val="none"/>
        </w:rPr>
        <w:t>构建全域旅游综合监管体系——充分发挥旅游部门的职能作用，建立旅游部门与相关部门联合执法机制；健全旅游安全监管机制，加强旅游安全制度建设，落实旅游安全政府属地化管理、部门监管和企业主体责任；健全涉旅突发事件应对机制。</w:t>
      </w:r>
    </w:p>
    <w:p w14:paraId="1AEA0E49">
      <w:pPr>
        <w:ind w:firstLine="560"/>
        <w:rPr>
          <w:color w:val="auto"/>
          <w:highlight w:val="none"/>
        </w:rPr>
      </w:pPr>
      <w:r>
        <w:rPr>
          <w:rFonts w:hint="eastAsia"/>
          <w:color w:val="auto"/>
          <w:highlight w:val="none"/>
        </w:rPr>
        <w:t>构建全域旅游惠民体系——推进旅游发展惠民利民，构建旅游创新创业高地；积极倡导文明旅游，营造和谐旅游环境。</w:t>
      </w:r>
    </w:p>
    <w:p w14:paraId="0832B42E">
      <w:pPr>
        <w:ind w:firstLine="560"/>
        <w:rPr>
          <w:color w:val="auto"/>
          <w:highlight w:val="none"/>
        </w:rPr>
      </w:pPr>
      <w:r>
        <w:rPr>
          <w:rFonts w:hint="eastAsia"/>
          <w:color w:val="auto"/>
          <w:highlight w:val="none"/>
        </w:rPr>
        <w:t>5</w:t>
      </w:r>
      <w:r>
        <w:rPr>
          <w:color w:val="auto"/>
          <w:highlight w:val="none"/>
        </w:rPr>
        <w:t>.科技与服务创新</w:t>
      </w:r>
    </w:p>
    <w:p w14:paraId="011D113C">
      <w:pPr>
        <w:ind w:firstLine="560"/>
        <w:rPr>
          <w:color w:val="auto"/>
          <w:highlight w:val="none"/>
        </w:rPr>
      </w:pPr>
      <w:r>
        <w:rPr>
          <w:rFonts w:hint="eastAsia"/>
          <w:color w:val="auto"/>
          <w:highlight w:val="none"/>
        </w:rPr>
        <w:t>智慧服务创新——实现智慧化旅行，完成构建南芬游全域旅游智慧化公共系统，构建属于当地的智慧旅游大数据，为地区旅游发展作出精准营销。</w:t>
      </w:r>
    </w:p>
    <w:p w14:paraId="43908CB9">
      <w:pPr>
        <w:ind w:firstLine="560"/>
        <w:rPr>
          <w:color w:val="auto"/>
          <w:highlight w:val="none"/>
        </w:rPr>
      </w:pPr>
      <w:r>
        <w:rPr>
          <w:rFonts w:hint="eastAsia"/>
          <w:color w:val="auto"/>
          <w:highlight w:val="none"/>
        </w:rPr>
        <w:t>非标准化智慧旅游旅游服务创新——加快推进景区服务智能化，涉旅场所实现免费</w:t>
      </w:r>
      <w:r>
        <w:rPr>
          <w:color w:val="auto"/>
          <w:highlight w:val="none"/>
        </w:rPr>
        <w:t>WIFI、通信信号全覆盖；启动建设咨询、导览、导游、导购和分享评价等智能化旅游服务系统。</w:t>
      </w:r>
    </w:p>
    <w:p w14:paraId="2C139BE3">
      <w:pPr>
        <w:ind w:firstLine="560"/>
        <w:rPr>
          <w:color w:val="auto"/>
          <w:highlight w:val="none"/>
        </w:rPr>
      </w:pPr>
      <w:r>
        <w:rPr>
          <w:color w:val="auto"/>
          <w:highlight w:val="none"/>
        </w:rPr>
        <w:t>2025年，社会消费品零售总额达到4.63亿元，年均增长26.1%。</w:t>
      </w:r>
    </w:p>
    <w:p w14:paraId="2B32B14E">
      <w:pPr>
        <w:ind w:firstLine="560"/>
        <w:rPr>
          <w:color w:val="auto"/>
          <w:highlight w:val="none"/>
        </w:rPr>
      </w:pPr>
    </w:p>
    <w:p w14:paraId="737D00F3">
      <w:pPr>
        <w:ind w:firstLine="560"/>
        <w:rPr>
          <w:color w:val="auto"/>
          <w:highlight w:val="none"/>
        </w:rPr>
      </w:pPr>
    </w:p>
    <w:tbl>
      <w:tblPr>
        <w:tblStyle w:val="19"/>
        <w:tblW w:w="836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1"/>
      </w:tblGrid>
      <w:tr w14:paraId="2DB2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361" w:type="dxa"/>
            <w:tcBorders>
              <w:bottom w:val="single" w:color="auto" w:sz="4" w:space="0"/>
            </w:tcBorders>
            <w:vAlign w:val="center"/>
          </w:tcPr>
          <w:p w14:paraId="48FE8C93">
            <w:pPr>
              <w:ind w:firstLine="422"/>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专栏4  服务业重点项目（共</w:t>
            </w:r>
            <w:r>
              <w:rPr>
                <w:rFonts w:asciiTheme="minorEastAsia" w:hAnsiTheme="minorEastAsia" w:eastAsiaTheme="minorEastAsia"/>
                <w:b/>
                <w:color w:val="auto"/>
                <w:sz w:val="21"/>
                <w:szCs w:val="21"/>
                <w:highlight w:val="none"/>
              </w:rPr>
              <w:t>2</w:t>
            </w:r>
            <w:r>
              <w:rPr>
                <w:rFonts w:hint="eastAsia" w:asciiTheme="minorEastAsia" w:hAnsiTheme="minorEastAsia" w:eastAsiaTheme="minorEastAsia"/>
                <w:b/>
                <w:color w:val="auto"/>
                <w:sz w:val="21"/>
                <w:szCs w:val="21"/>
                <w:highlight w:val="none"/>
                <w:lang w:val="en-US" w:eastAsia="zh-CN"/>
              </w:rPr>
              <w:t>8</w:t>
            </w:r>
            <w:r>
              <w:rPr>
                <w:rFonts w:hint="eastAsia" w:asciiTheme="minorEastAsia" w:hAnsiTheme="minorEastAsia" w:eastAsiaTheme="minorEastAsia"/>
                <w:b/>
                <w:color w:val="auto"/>
                <w:sz w:val="21"/>
                <w:szCs w:val="21"/>
                <w:highlight w:val="none"/>
              </w:rPr>
              <w:t>个）</w:t>
            </w:r>
          </w:p>
        </w:tc>
      </w:tr>
      <w:tr w14:paraId="24F7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361" w:type="dxa"/>
            <w:vAlign w:val="center"/>
          </w:tcPr>
          <w:p w14:paraId="35115B9B">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文化旅游项目：本溪达瑞城外渔庄项目、本溪市闽溪彩虹旅游有限公司滴水洞景区开发建设项目、城外鱼庄三期工程（山体公园）项目、大冰沟北部冰谷生态旅游开发建设项目、大冰沟景区基础设施建设项目、大冰沟智慧景区建设项目、大峡谷景区提升项目、大峡谷游客中心项目、南芬区全域旅游智慧平台二期项目、青云山温泉康养度假项目、思山岭旅游服务设施提升项目、思山岭省级旅游度假区项目、铸造小镇项目</w:t>
            </w:r>
            <w:r>
              <w:rPr>
                <w:rFonts w:hint="eastAsia" w:asciiTheme="minorEastAsia" w:hAnsiTheme="minorEastAsia" w:eastAsiaTheme="minorEastAsia"/>
                <w:color w:val="auto"/>
                <w:sz w:val="21"/>
                <w:szCs w:val="21"/>
                <w:highlight w:val="none"/>
                <w:lang w:eastAsia="zh-CN"/>
              </w:rPr>
              <w:t>、本溪市鸿顺旅游有限公司溪泉鱼庄项目、大峡谷景区（二期）项目</w:t>
            </w:r>
            <w:r>
              <w:rPr>
                <w:rFonts w:hint="eastAsia" w:asciiTheme="minorEastAsia" w:hAnsiTheme="minorEastAsia" w:eastAsiaTheme="minorEastAsia"/>
                <w:color w:val="auto"/>
                <w:sz w:val="21"/>
                <w:szCs w:val="21"/>
                <w:highlight w:val="none"/>
              </w:rPr>
              <w:t>。</w:t>
            </w:r>
          </w:p>
          <w:p w14:paraId="56B2EBB2">
            <w:pPr>
              <w:ind w:firstLine="420"/>
              <w:rPr>
                <w:rFonts w:cs="Times New Roman"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服务业项目：城区加油站（甩湾）项目、电商直播项目、经济开发区数字化检测服务中心（省级实验室）项目、南芬经济开发区超高纯生铁研发转化中心、南芬经济开发区企业环保第三方治理项目、南芬健康养老服务中心项目、南芬区体育馆改造项目、南芬区新型智慧城市建设项目（经济开发区智慧指挥中心项目）、南芬选矿厂铁路运输能力提升、十七中加油站项目、铁山东路商业服务业设施用地项目</w:t>
            </w:r>
            <w:r>
              <w:rPr>
                <w:rFonts w:hint="eastAsia" w:asciiTheme="minorEastAsia" w:hAnsiTheme="minorEastAsia" w:eastAsiaTheme="minorEastAsia"/>
                <w:color w:val="auto"/>
                <w:sz w:val="21"/>
                <w:szCs w:val="21"/>
                <w:highlight w:val="none"/>
                <w:lang w:eastAsia="zh-CN"/>
              </w:rPr>
              <w:t>、辽宁孝祥殡葬服务有限公司孝祥墓园项目</w:t>
            </w:r>
            <w:r>
              <w:rPr>
                <w:rFonts w:hint="eastAsia" w:asciiTheme="minorEastAsia" w:hAnsiTheme="minorEastAsia" w:eastAsiaTheme="minorEastAsia"/>
                <w:color w:val="auto"/>
                <w:sz w:val="21"/>
                <w:szCs w:val="21"/>
                <w:highlight w:val="none"/>
              </w:rPr>
              <w:t>。</w:t>
            </w:r>
          </w:p>
        </w:tc>
      </w:tr>
    </w:tbl>
    <w:p w14:paraId="776F1E36">
      <w:pPr>
        <w:ind w:firstLine="560"/>
        <w:rPr>
          <w:color w:val="auto"/>
          <w:highlight w:val="none"/>
        </w:rPr>
      </w:pPr>
      <w:r>
        <w:rPr>
          <w:color w:val="auto"/>
          <w:highlight w:val="none"/>
        </w:rPr>
        <w:br w:type="page"/>
      </w:r>
    </w:p>
    <w:p w14:paraId="42D6207B">
      <w:pPr>
        <w:pStyle w:val="3"/>
        <w:ind w:firstLine="643"/>
        <w:rPr>
          <w:color w:val="auto"/>
          <w:highlight w:val="none"/>
        </w:rPr>
      </w:pPr>
      <w:bookmarkStart w:id="29" w:name="_Toc143701974"/>
      <w:r>
        <w:rPr>
          <w:color w:val="auto"/>
          <w:highlight w:val="none"/>
        </w:rPr>
        <w:t>第</w:t>
      </w:r>
      <w:r>
        <w:rPr>
          <w:rFonts w:hint="eastAsia"/>
          <w:color w:val="auto"/>
          <w:highlight w:val="none"/>
        </w:rPr>
        <w:t>七</w:t>
      </w:r>
      <w:r>
        <w:rPr>
          <w:color w:val="auto"/>
          <w:highlight w:val="none"/>
        </w:rPr>
        <w:t>章</w:t>
      </w:r>
      <w:r>
        <w:rPr>
          <w:rFonts w:hint="eastAsia"/>
          <w:color w:val="auto"/>
          <w:highlight w:val="none"/>
        </w:rPr>
        <w:t xml:space="preserve"> 生态立区篇</w:t>
      </w:r>
      <w:bookmarkEnd w:id="29"/>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7AC777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2452DAAC">
            <w:pPr>
              <w:pStyle w:val="8"/>
              <w:ind w:firstLine="480"/>
              <w:rPr>
                <w:color w:val="auto"/>
                <w:sz w:val="24"/>
                <w:highlight w:val="none"/>
              </w:rPr>
            </w:pPr>
            <w:r>
              <w:rPr>
                <w:color w:val="auto"/>
                <w:sz w:val="24"/>
                <w:highlight w:val="none"/>
              </w:rPr>
              <w:t>政策依据</w:t>
            </w:r>
            <w:r>
              <w:rPr>
                <w:rFonts w:hint="eastAsia"/>
                <w:color w:val="auto"/>
                <w:sz w:val="24"/>
                <w:highlight w:val="none"/>
              </w:rPr>
              <w:t>：中共中央国务院《关于全面加强生态环境保护 坚决打好污染防治攻坚战的意见》、中共中央办公厅 国务院办公厅印发《生态文明建设目标评价考核办法》、《关于加快建设绿色矿山的实施意见》</w:t>
            </w:r>
          </w:p>
        </w:tc>
      </w:tr>
      <w:tr w14:paraId="13D68EA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0996E66">
            <w:pPr>
              <w:pStyle w:val="8"/>
              <w:ind w:firstLine="480"/>
              <w:rPr>
                <w:color w:val="auto"/>
                <w:sz w:val="24"/>
                <w:highlight w:val="none"/>
              </w:rPr>
            </w:pPr>
            <w:r>
              <w:rPr>
                <w:color w:val="auto"/>
                <w:sz w:val="24"/>
                <w:highlight w:val="none"/>
              </w:rPr>
              <w:t>规划主题</w:t>
            </w:r>
            <w:r>
              <w:rPr>
                <w:rFonts w:hint="eastAsia"/>
                <w:color w:val="auto"/>
                <w:sz w:val="24"/>
                <w:highlight w:val="none"/>
              </w:rPr>
              <w:t>：厚植生态优势，深挖细耕展现南芬成色</w:t>
            </w:r>
          </w:p>
        </w:tc>
      </w:tr>
      <w:tr w14:paraId="35AF16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DA0B061">
            <w:pPr>
              <w:pStyle w:val="8"/>
              <w:ind w:firstLine="480"/>
              <w:rPr>
                <w:color w:val="auto"/>
                <w:sz w:val="24"/>
                <w:highlight w:val="none"/>
              </w:rPr>
            </w:pPr>
            <w:r>
              <w:rPr>
                <w:color w:val="auto"/>
                <w:sz w:val="24"/>
                <w:highlight w:val="none"/>
              </w:rPr>
              <w:t>规划领域</w:t>
            </w:r>
            <w:r>
              <w:rPr>
                <w:rFonts w:hint="eastAsia"/>
                <w:color w:val="auto"/>
                <w:sz w:val="24"/>
                <w:highlight w:val="none"/>
              </w:rPr>
              <w:t>：生态、农业领域</w:t>
            </w:r>
          </w:p>
        </w:tc>
      </w:tr>
      <w:tr w14:paraId="68DA2F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5E8FBC0">
            <w:pPr>
              <w:pStyle w:val="8"/>
              <w:ind w:firstLine="480"/>
              <w:rPr>
                <w:color w:val="auto"/>
                <w:sz w:val="24"/>
                <w:highlight w:val="none"/>
              </w:rPr>
            </w:pPr>
            <w:r>
              <w:rPr>
                <w:color w:val="auto"/>
                <w:sz w:val="24"/>
                <w:highlight w:val="none"/>
              </w:rPr>
              <w:t>规划重点</w:t>
            </w:r>
            <w:r>
              <w:rPr>
                <w:rFonts w:hint="eastAsia"/>
                <w:color w:val="auto"/>
                <w:sz w:val="24"/>
                <w:highlight w:val="none"/>
              </w:rPr>
              <w:t>：循环经济、污染防治、环境保护</w:t>
            </w:r>
          </w:p>
        </w:tc>
      </w:tr>
    </w:tbl>
    <w:p w14:paraId="62883FB1">
      <w:pPr>
        <w:widowControl w:val="0"/>
        <w:spacing w:line="560" w:lineRule="exact"/>
        <w:ind w:firstLine="560"/>
        <w:rPr>
          <w:rFonts w:ascii="仿宋" w:hAnsi="仿宋" w:cs="仿宋"/>
          <w:color w:val="auto"/>
          <w:szCs w:val="28"/>
          <w:highlight w:val="none"/>
        </w:rPr>
      </w:pPr>
      <w:r>
        <w:rPr>
          <w:rFonts w:hint="eastAsia"/>
          <w:color w:val="auto"/>
          <w:highlight w:val="none"/>
        </w:rPr>
        <w:t>深入贯彻</w:t>
      </w:r>
      <w:r>
        <w:rPr>
          <w:rFonts w:hint="eastAsia"/>
          <w:color w:val="auto"/>
          <w:highlight w:val="none"/>
          <w:lang w:eastAsia="zh-CN"/>
        </w:rPr>
        <w:t>党的十九大精神</w:t>
      </w:r>
      <w:r>
        <w:rPr>
          <w:rFonts w:hint="eastAsia"/>
          <w:color w:val="auto"/>
          <w:highlight w:val="none"/>
        </w:rPr>
        <w:t>和习近平生态文明思想，坚持绿水青山就是金山银山理念，把生态文明建设放在突出的战略位置，坚定实施“生态立区”战略，协同推进降碳、减污、扩绿、增长，以绿色发展为重点突破，构建南芬区人与自然和谐共生的生态文明体系，促进经济社会发展全面绿色转型，推动人民生活绿色低碳发展，提升生态环境品质，让天更蓝、山更绿、水更清、民更富、企更兴、城更靓，打造</w:t>
      </w:r>
      <w:r>
        <w:rPr>
          <w:rFonts w:hint="eastAsia"/>
          <w:b/>
          <w:bCs/>
          <w:color w:val="auto"/>
          <w:highlight w:val="none"/>
        </w:rPr>
        <w:t>绿色生产、绿色生活、适宜人居、适宜创业的“双生双宜”</w:t>
      </w:r>
      <w:r>
        <w:rPr>
          <w:rFonts w:hint="eastAsia"/>
          <w:color w:val="auto"/>
          <w:highlight w:val="none"/>
        </w:rPr>
        <w:t>的生态体系，建设人与自然和谐共生的</w:t>
      </w:r>
      <w:r>
        <w:rPr>
          <w:rFonts w:hint="eastAsia"/>
          <w:b/>
          <w:color w:val="auto"/>
          <w:highlight w:val="none"/>
        </w:rPr>
        <w:t>生态南芬</w:t>
      </w:r>
      <w:r>
        <w:rPr>
          <w:rFonts w:hint="eastAsia"/>
          <w:color w:val="auto"/>
          <w:highlight w:val="none"/>
        </w:rPr>
        <w:t>。</w:t>
      </w:r>
    </w:p>
    <w:p w14:paraId="65F544B1">
      <w:pPr>
        <w:pStyle w:val="4"/>
        <w:ind w:firstLine="643"/>
        <w:rPr>
          <w:color w:val="auto"/>
          <w:highlight w:val="none"/>
        </w:rPr>
      </w:pPr>
      <w:bookmarkStart w:id="30" w:name="_Toc143701975"/>
      <w:r>
        <w:rPr>
          <w:color w:val="auto"/>
          <w:highlight w:val="none"/>
        </w:rPr>
        <w:t>第</w:t>
      </w:r>
      <w:r>
        <w:rPr>
          <w:rFonts w:hint="eastAsia"/>
          <w:color w:val="auto"/>
          <w:highlight w:val="none"/>
        </w:rPr>
        <w:t>一</w:t>
      </w:r>
      <w:r>
        <w:rPr>
          <w:color w:val="auto"/>
          <w:highlight w:val="none"/>
        </w:rPr>
        <w:t>节</w:t>
      </w:r>
      <w:r>
        <w:rPr>
          <w:rFonts w:hint="eastAsia"/>
          <w:color w:val="auto"/>
          <w:highlight w:val="none"/>
        </w:rPr>
        <w:t xml:space="preserve"> 防治污染保护环境 持续改善“双生”环境质量</w:t>
      </w:r>
      <w:bookmarkEnd w:id="30"/>
    </w:p>
    <w:p w14:paraId="15D475A4">
      <w:pPr>
        <w:ind w:firstLine="560"/>
        <w:rPr>
          <w:color w:val="auto"/>
          <w:highlight w:val="none"/>
        </w:rPr>
      </w:pPr>
      <w:r>
        <w:rPr>
          <w:rFonts w:hint="eastAsia"/>
          <w:color w:val="auto"/>
          <w:highlight w:val="none"/>
        </w:rPr>
        <w:t>推动绿色发展，促进人与自然和谐共生，增强社会生态环保意识，提升生态系统质量和稳定性，开展山水林田湖系统治理。深入打好污染防治攻坚战，持续改善南芬“生态”环境质量。</w:t>
      </w:r>
    </w:p>
    <w:p w14:paraId="2D5CCC44">
      <w:pPr>
        <w:ind w:firstLine="560"/>
        <w:rPr>
          <w:color w:val="auto"/>
          <w:highlight w:val="none"/>
        </w:rPr>
      </w:pPr>
      <w:r>
        <w:rPr>
          <w:rFonts w:hint="eastAsia"/>
          <w:color w:val="auto"/>
          <w:highlight w:val="none"/>
        </w:rPr>
        <w:t>1.全面推进矿山治理，推进绿色矿山工程</w:t>
      </w:r>
    </w:p>
    <w:p w14:paraId="79260585">
      <w:pPr>
        <w:ind w:firstLine="560"/>
        <w:rPr>
          <w:rFonts w:ascii="仿宋" w:hAnsi="仿宋" w:cs="仿宋"/>
          <w:color w:val="auto"/>
          <w:szCs w:val="28"/>
          <w:highlight w:val="none"/>
        </w:rPr>
      </w:pPr>
      <w:r>
        <w:rPr>
          <w:rFonts w:hint="eastAsia"/>
          <w:color w:val="auto"/>
          <w:highlight w:val="none"/>
        </w:rPr>
        <w:t>严格执行矿山地质环境保护与治理恢复制度，坚持“谁破坏，谁治理”的原则，每年要依据《矿山地质环境恢复治理与土地复垦方案》中年度治理计划，督促矿山企业开展地质环境保护和治理恢复工作和落实矿山地质环境监测的主体责任，明确监测任务和指标。新建矿山100%达到绿色矿山建设要求，生产矿山加快升级改造，提高采、选、冶工艺和矿产品加工业科技水平，加强煤矸石、矿山废石等废弃物综合利用。坚持治理、保护、开发、利用“四位一体”，加快转变矿产经济发展方式，促进矿山生态环境彻底改变。2020年起，每年要组织辖区内有效矿山企业申请列入省级绿色矿山创建库，全面深入推进我区绿色矿山建设工作。按计划推进实施废弃矿山复绿新突破三年行动，确保完成</w:t>
      </w:r>
      <w:r>
        <w:rPr>
          <w:color w:val="auto"/>
          <w:highlight w:val="none"/>
        </w:rPr>
        <w:t>204.86亩治理任务</w:t>
      </w:r>
      <w:r>
        <w:rPr>
          <w:rFonts w:hint="eastAsia"/>
          <w:color w:val="auto"/>
          <w:highlight w:val="none"/>
        </w:rPr>
        <w:t>，</w:t>
      </w:r>
      <w:r>
        <w:rPr>
          <w:rFonts w:hint="eastAsia" w:ascii="仿宋" w:hAnsi="仿宋" w:cs="仿宋"/>
          <w:color w:val="auto"/>
          <w:szCs w:val="28"/>
          <w:highlight w:val="none"/>
        </w:rPr>
        <w:t>推进完成废弃矿山生态修复治理20个，绿色矿山达到6家。</w:t>
      </w:r>
    </w:p>
    <w:p w14:paraId="23942633">
      <w:pPr>
        <w:ind w:firstLine="560"/>
        <w:rPr>
          <w:color w:val="auto"/>
          <w:highlight w:val="none"/>
        </w:rPr>
      </w:pPr>
      <w:r>
        <w:rPr>
          <w:rFonts w:hint="eastAsia" w:ascii="仿宋" w:hAnsi="仿宋" w:cs="仿宋"/>
          <w:color w:val="auto"/>
          <w:szCs w:val="28"/>
          <w:highlight w:val="none"/>
        </w:rPr>
        <w:t>2</w:t>
      </w:r>
      <w:r>
        <w:rPr>
          <w:rFonts w:hint="eastAsia"/>
          <w:color w:val="auto"/>
          <w:highlight w:val="none"/>
        </w:rPr>
        <w:t>.持续改善空气质量，坚决打赢蓝天保卫战</w:t>
      </w:r>
    </w:p>
    <w:p w14:paraId="3DE3E786">
      <w:pPr>
        <w:widowControl w:val="0"/>
        <w:spacing w:line="560" w:lineRule="exact"/>
        <w:ind w:firstLine="560"/>
        <w:rPr>
          <w:rFonts w:ascii="仿宋" w:hAnsi="仿宋" w:cs="仿宋"/>
          <w:color w:val="auto"/>
          <w:szCs w:val="28"/>
          <w:highlight w:val="none"/>
        </w:rPr>
      </w:pPr>
      <w:r>
        <w:rPr>
          <w:rFonts w:hint="eastAsia"/>
          <w:color w:val="auto"/>
          <w:highlight w:val="none"/>
        </w:rPr>
        <w:t>推动重污染天气消除、臭氧污染防治和柴油货车污染治理攻坚。重点加强防治颗粒物污染控制，促进空气质量改善，以持续巩固蓝天保卫战成果为重点，实施本溪市空气质量达标规划，提出逐年改善空气环境质量的目标措施。每年制定《南芬区主要污染物总量减排计划》，完成空气质量目标任务，</w:t>
      </w:r>
      <w:r>
        <w:rPr>
          <w:color w:val="auto"/>
          <w:highlight w:val="none"/>
        </w:rPr>
        <w:t>2025年，PM2.5平均浓度下降至39微克/立方米以下，重污染天数比率下降0.55%以下。</w:t>
      </w:r>
      <w:r>
        <w:rPr>
          <w:rFonts w:hint="eastAsia"/>
          <w:color w:val="auto"/>
          <w:highlight w:val="none"/>
        </w:rPr>
        <w:t>到2025年空气质量优良天数90%以上。</w:t>
      </w:r>
    </w:p>
    <w:p w14:paraId="599C1A88">
      <w:pPr>
        <w:ind w:firstLine="560"/>
        <w:rPr>
          <w:color w:val="auto"/>
          <w:highlight w:val="none"/>
        </w:rPr>
      </w:pPr>
      <w:r>
        <w:rPr>
          <w:rFonts w:hint="eastAsia"/>
          <w:color w:val="auto"/>
          <w:highlight w:val="none"/>
        </w:rPr>
        <w:t>强化面源污染治理。实施城市裸露土地绿化覆盖工程，深化建筑施工、道路扬尘综合整治，完善长效管理机制；加强秸秆焚烧综合管控，强化三级秸秆禁烧网格主体责任。</w:t>
      </w:r>
    </w:p>
    <w:p w14:paraId="094D9E38">
      <w:pPr>
        <w:ind w:firstLine="560"/>
        <w:rPr>
          <w:color w:val="auto"/>
          <w:highlight w:val="none"/>
        </w:rPr>
      </w:pPr>
      <w:r>
        <w:rPr>
          <w:rFonts w:hint="eastAsia"/>
          <w:color w:val="auto"/>
          <w:highlight w:val="none"/>
        </w:rPr>
        <w:t>强化重污染天气应急预警和区域大气污染联防联控。修订并落实南芬区重污染天气应急预案，完善大气污染预测预报预警系统，将重污染天气应急纳入全区应急管理体系；细化应急减排措施，落实到企业各工艺环节，实施“一厂一策”清单化管理；建立完善监测信息共享平台，加强对二氧化硫、氮氧化物、颗粒物、挥发性有机物等重点污染物与钢铁、化工等重点行业联合防控；加大区域大气环境联合执法检查力度，集中整治违法排污企业。</w:t>
      </w:r>
    </w:p>
    <w:p w14:paraId="5E9D8044">
      <w:pPr>
        <w:ind w:firstLine="560"/>
        <w:rPr>
          <w:color w:val="auto"/>
          <w:highlight w:val="none"/>
        </w:rPr>
      </w:pPr>
      <w:r>
        <w:rPr>
          <w:color w:val="auto"/>
          <w:highlight w:val="none"/>
        </w:rPr>
        <w:t>3</w:t>
      </w:r>
      <w:r>
        <w:rPr>
          <w:rFonts w:hint="eastAsia"/>
          <w:color w:val="auto"/>
          <w:highlight w:val="none"/>
        </w:rPr>
        <w:t>.全面提升水环境质量，坚决打赢碧水保卫战</w:t>
      </w:r>
    </w:p>
    <w:p w14:paraId="51F570FD">
      <w:pPr>
        <w:ind w:firstLine="560"/>
        <w:rPr>
          <w:color w:val="auto"/>
          <w:highlight w:val="none"/>
        </w:rPr>
      </w:pPr>
      <w:r>
        <w:rPr>
          <w:rFonts w:hint="eastAsia"/>
          <w:color w:val="auto"/>
          <w:highlight w:val="none"/>
        </w:rPr>
        <w:t>继续实施水污染防治专项行动计划。以断面水质为管理目标、以排污许可制为核心的流域水环境质量目标管理，落实治污责任。深入推进流域污染综合治理。落实细河流域水污染防治任务，深入推行河长制，加大对污染严重的河流进行环境治理，完成全区入河排放口排查并形成入河排放口名录，加强入河排污口溯源整治，确保全区河断面水质稳定达标；开展“美丽河湖”建设，深入推行河长制，加强入河排污口溯源整治，确保全区河断面水质稳定达标；全区河流水质优良比例达到 75%。</w:t>
      </w:r>
    </w:p>
    <w:p w14:paraId="3E2E6735">
      <w:pPr>
        <w:ind w:firstLine="560"/>
        <w:rPr>
          <w:color w:val="auto"/>
          <w:highlight w:val="none"/>
        </w:rPr>
      </w:pPr>
      <w:r>
        <w:rPr>
          <w:rFonts w:hint="eastAsia"/>
          <w:color w:val="auto"/>
          <w:highlight w:val="none"/>
        </w:rPr>
        <w:t>强化水污染治理。加大重点行业企业专项整治力度，减少水污染物的排放；切实加强城镇污水处理厂达标排放监管，全面推进污水处理设施投资与运营，加强配套管网建设，推进污水处理厂污泥资源化利用及安全处置，到 2025 年，</w:t>
      </w:r>
      <w:r>
        <w:rPr>
          <w:color w:val="auto"/>
          <w:highlight w:val="none"/>
        </w:rPr>
        <w:t>全区城市污水收集率达到100%。</w:t>
      </w:r>
      <w:r>
        <w:rPr>
          <w:rFonts w:hint="eastAsia"/>
          <w:color w:val="auto"/>
          <w:highlight w:val="none"/>
        </w:rPr>
        <w:t>全区城镇污水处理率达到 95%以上。</w:t>
      </w:r>
      <w:r>
        <w:rPr>
          <w:color w:val="auto"/>
          <w:highlight w:val="none"/>
        </w:rPr>
        <w:t>加强水系连通及水美乡村项目后续管护，持续巩固治理成果。建设一批农村生活污水资源化利用示范村。</w:t>
      </w:r>
    </w:p>
    <w:p w14:paraId="7C97B13B">
      <w:pPr>
        <w:ind w:firstLine="560"/>
        <w:rPr>
          <w:color w:val="auto"/>
          <w:highlight w:val="none"/>
        </w:rPr>
      </w:pPr>
      <w:r>
        <w:rPr>
          <w:rFonts w:hint="eastAsia"/>
          <w:color w:val="auto"/>
          <w:highlight w:val="none"/>
        </w:rPr>
        <w:t>推进地下水污染综合防治。开展典型区域地下水环境状况调查评价，开展工业园区、矿山矿选区和生活垃圾填埋场等区域地下水污染排查，依法关停造成地下水严重污染事件的企业。</w:t>
      </w:r>
    </w:p>
    <w:p w14:paraId="3D8CB620">
      <w:pPr>
        <w:ind w:firstLine="560"/>
        <w:rPr>
          <w:color w:val="auto"/>
          <w:highlight w:val="none"/>
        </w:rPr>
      </w:pPr>
      <w:r>
        <w:rPr>
          <w:color w:val="auto"/>
          <w:highlight w:val="none"/>
        </w:rPr>
        <w:t>4</w:t>
      </w:r>
      <w:r>
        <w:rPr>
          <w:rFonts w:hint="eastAsia"/>
          <w:color w:val="auto"/>
          <w:highlight w:val="none"/>
        </w:rPr>
        <w:t xml:space="preserve">.扎实推进净土行动，强化土壤污染风险监管 </w:t>
      </w:r>
    </w:p>
    <w:p w14:paraId="0E17E973">
      <w:pPr>
        <w:ind w:firstLine="560"/>
        <w:rPr>
          <w:color w:val="auto"/>
          <w:highlight w:val="none"/>
        </w:rPr>
      </w:pPr>
      <w:r>
        <w:rPr>
          <w:rFonts w:hint="eastAsia"/>
          <w:color w:val="auto"/>
          <w:highlight w:val="none"/>
        </w:rPr>
        <w:t>加强建设用地土壤污染风险监管。深入实施土壤污染防治行动计划，开展土壤污染状况详查。以高浓度、高风险、重金属污染为主，开展污染土壤修复示范工程。完成重点行业企业土壤环境自行监测，建立建设用地土壤污染风险管控和修复名录。将建设用地土壤环境管理要求纳入城市规划和供地管理，土地开发利用必须符合土壤环境质量标准。到</w:t>
      </w:r>
      <w:r>
        <w:rPr>
          <w:color w:val="auto"/>
          <w:highlight w:val="none"/>
        </w:rPr>
        <w:t>2025年，累计退化林修复1万亩，水土保持率达到89%</w:t>
      </w:r>
      <w:r>
        <w:rPr>
          <w:rFonts w:hint="eastAsia"/>
          <w:color w:val="auto"/>
          <w:highlight w:val="none"/>
        </w:rPr>
        <w:t>。</w:t>
      </w:r>
    </w:p>
    <w:p w14:paraId="70A3ADD8">
      <w:pPr>
        <w:ind w:firstLine="560"/>
        <w:rPr>
          <w:color w:val="auto"/>
          <w:highlight w:val="none"/>
        </w:rPr>
      </w:pPr>
      <w:r>
        <w:rPr>
          <w:rFonts w:hint="eastAsia"/>
          <w:color w:val="auto"/>
          <w:highlight w:val="none"/>
        </w:rPr>
        <w:t>推进农业用地安全利用。加强农业土壤环境监督管理，以基本农田、重要农产品产地为监管重点，开展农用土壤环境监测、评估与安全性划分，确保保护类耕地面积、土壤环境质量不变。</w:t>
      </w:r>
      <w:r>
        <w:rPr>
          <w:color w:val="auto"/>
          <w:highlight w:val="none"/>
        </w:rPr>
        <w:t>推进塑料污染全链条治理。</w:t>
      </w:r>
    </w:p>
    <w:p w14:paraId="4112CB12">
      <w:pPr>
        <w:ind w:firstLine="560"/>
        <w:rPr>
          <w:color w:val="auto"/>
          <w:highlight w:val="none"/>
        </w:rPr>
      </w:pPr>
      <w:r>
        <w:rPr>
          <w:color w:val="auto"/>
          <w:highlight w:val="none"/>
        </w:rPr>
        <w:t>5</w:t>
      </w:r>
      <w:r>
        <w:rPr>
          <w:rFonts w:hint="eastAsia"/>
          <w:color w:val="auto"/>
          <w:highlight w:val="none"/>
        </w:rPr>
        <w:t>.开展农村环境综合整治，提高农村生活环境质量。</w:t>
      </w:r>
    </w:p>
    <w:p w14:paraId="1B3A81DB">
      <w:pPr>
        <w:ind w:firstLine="560"/>
        <w:rPr>
          <w:color w:val="auto"/>
          <w:highlight w:val="none"/>
        </w:rPr>
      </w:pPr>
      <w:r>
        <w:rPr>
          <w:rFonts w:hint="eastAsia"/>
          <w:color w:val="auto"/>
          <w:highlight w:val="none"/>
        </w:rPr>
        <w:t>有效防控种植业污染。持续推进化肥、农药减量增效。鼓励农民增施有机肥，减少化肥使用量。全区主要农作物化肥使用量实现负增长，测土配方施肥技术覆盖率达到90%以上。</w:t>
      </w:r>
    </w:p>
    <w:p w14:paraId="362E5D0E">
      <w:pPr>
        <w:ind w:firstLine="560"/>
        <w:rPr>
          <w:color w:val="auto"/>
          <w:highlight w:val="none"/>
        </w:rPr>
      </w:pPr>
      <w:r>
        <w:rPr>
          <w:rFonts w:hint="eastAsia"/>
          <w:color w:val="auto"/>
          <w:highlight w:val="none"/>
        </w:rPr>
        <w:t>着力解决养殖业污染。推进养殖生产清洁化和产业模式生态化，实现源头减量。严格实施《南芬区禁养区划定方案》，禁养区范围内禁止一切养殖活动。统筹考虑环境承载能力及养殖污染防治要求，优化调整养殖布局。落实街道办事处和村委会的主体责任，有效引导养殖户落实“谁养殖，谁治理”的主体责任，实现畜禽粪污的无害化处理和资源化利用。加强畜禽规模养殖环境监管。加强农业面源污染防治，实施畜禽粪污资源化利用整体推进，畜禽粪污综合利用率达到</w:t>
      </w:r>
      <w:r>
        <w:rPr>
          <w:color w:val="auto"/>
          <w:highlight w:val="none"/>
        </w:rPr>
        <w:t>85%。</w:t>
      </w:r>
    </w:p>
    <w:p w14:paraId="45A757D6">
      <w:pPr>
        <w:ind w:firstLine="560"/>
        <w:rPr>
          <w:color w:val="auto"/>
          <w:highlight w:val="none"/>
        </w:rPr>
      </w:pPr>
      <w:r>
        <w:rPr>
          <w:rFonts w:hint="eastAsia"/>
          <w:color w:val="auto"/>
          <w:highlight w:val="none"/>
        </w:rPr>
        <w:t>推进农村生活垃圾污水治理。完善农村垃圾治理体系。大力推行农村垃圾就地分类减量和资源化利用，基本完成农村非正规垃圾堆放点排查整治，推广适合农村使用的垃圾处理方式和技术。推进农村生活污水治理。积极推动农村生活污水收集处理项目，城镇污水管网向周边村庄延伸覆盖，保障农村污染治理设施长效运行。推进厕所革命，以符合国家推行农户卫生厕所标准为前提，按照群众接受、经济适用、不污染公共水体要求，2025年农村卫生厕所普及率达到100%。实现整洁村全覆盖。</w:t>
      </w:r>
    </w:p>
    <w:p w14:paraId="654A470D">
      <w:pPr>
        <w:ind w:firstLine="560"/>
        <w:rPr>
          <w:color w:val="auto"/>
          <w:highlight w:val="none"/>
        </w:rPr>
      </w:pPr>
      <w:r>
        <w:rPr>
          <w:color w:val="auto"/>
          <w:highlight w:val="none"/>
        </w:rPr>
        <w:t>6</w:t>
      </w:r>
      <w:r>
        <w:rPr>
          <w:rFonts w:hint="eastAsia"/>
          <w:color w:val="auto"/>
          <w:highlight w:val="none"/>
        </w:rPr>
        <w:t>.加强完善林区管护，打造和谐自然生态环境</w:t>
      </w:r>
    </w:p>
    <w:p w14:paraId="0C665891">
      <w:pPr>
        <w:ind w:firstLine="560"/>
        <w:rPr>
          <w:color w:val="auto"/>
          <w:highlight w:val="none"/>
        </w:rPr>
      </w:pPr>
      <w:r>
        <w:rPr>
          <w:rFonts w:hint="eastAsia"/>
          <w:color w:val="auto"/>
          <w:highlight w:val="none"/>
        </w:rPr>
        <w:t>全面推行林长制，落实生态文明建设党政领导主体责任，压实林业生态建设任务。实施“生态立区”发展战略，助推绿色高质量发展。确保森林资源有效增长，十四五期间，年森林采伐限额控制在5万立方米以下，严格控制资源消耗。贯彻落实《占用征用林地审核审批管理办法》和《占用征用林地审核审批管理规范》，严格审核征占用林地项目，严格木材经营加工管理。加强林业保护和改善生态环境，建立和完善林业生态保护体系，持续推进林长制工作平稳运行。到2025年，林业有害生物年均成灾率控制在3‰以下、森林火灾年均受害率控制在0.9‰以下。</w:t>
      </w:r>
    </w:p>
    <w:p w14:paraId="5F2D682A">
      <w:pPr>
        <w:pStyle w:val="4"/>
        <w:ind w:firstLine="643"/>
        <w:rPr>
          <w:color w:val="auto"/>
          <w:highlight w:val="none"/>
        </w:rPr>
      </w:pPr>
      <w:bookmarkStart w:id="31" w:name="_Toc143701976"/>
      <w:r>
        <w:rPr>
          <w:color w:val="auto"/>
          <w:highlight w:val="none"/>
        </w:rPr>
        <w:t>第</w:t>
      </w:r>
      <w:r>
        <w:rPr>
          <w:rFonts w:hint="eastAsia"/>
          <w:color w:val="auto"/>
          <w:highlight w:val="none"/>
        </w:rPr>
        <w:t>二</w:t>
      </w:r>
      <w:r>
        <w:rPr>
          <w:color w:val="auto"/>
          <w:highlight w:val="none"/>
        </w:rPr>
        <w:t>节</w:t>
      </w:r>
      <w:r>
        <w:rPr>
          <w:rFonts w:hint="eastAsia"/>
          <w:color w:val="auto"/>
          <w:highlight w:val="none"/>
        </w:rPr>
        <w:t xml:space="preserve"> 树立生态文明理念 健全“双宜”生态文明制度</w:t>
      </w:r>
      <w:bookmarkEnd w:id="31"/>
    </w:p>
    <w:p w14:paraId="457150FA">
      <w:pPr>
        <w:ind w:firstLine="560"/>
        <w:rPr>
          <w:color w:val="auto"/>
          <w:highlight w:val="none"/>
        </w:rPr>
      </w:pPr>
      <w:r>
        <w:rPr>
          <w:rFonts w:hint="eastAsia"/>
          <w:color w:val="auto"/>
          <w:highlight w:val="none"/>
        </w:rPr>
        <w:t>坚持绿水青山就是金山银山理念，坚持尊重自然、顺应自然、保护自然，坚持节约优先、保护优先、自然恢复为主，守住自然生态安全边界。深入实施可持续发展战略，完善生态文明领域统筹协调机制，构建生态文明体系，促进经济社会发展全面绿色转型，建设人与自然和谐共生的现代化，打造适宜人居、适宜创业的“双宜”的生态体系。</w:t>
      </w:r>
    </w:p>
    <w:p w14:paraId="4F01C94D">
      <w:pPr>
        <w:ind w:firstLine="560"/>
        <w:rPr>
          <w:color w:val="auto"/>
          <w:highlight w:val="none"/>
        </w:rPr>
      </w:pPr>
      <w:r>
        <w:rPr>
          <w:color w:val="auto"/>
          <w:highlight w:val="none"/>
        </w:rPr>
        <w:t>1</w:t>
      </w:r>
      <w:r>
        <w:rPr>
          <w:rFonts w:hint="eastAsia"/>
          <w:color w:val="auto"/>
          <w:highlight w:val="none"/>
        </w:rPr>
        <w:t>.加强生态环境保护制度体系建设</w:t>
      </w:r>
    </w:p>
    <w:p w14:paraId="60EF10B3">
      <w:pPr>
        <w:ind w:firstLine="560"/>
        <w:rPr>
          <w:color w:val="auto"/>
          <w:highlight w:val="none"/>
        </w:rPr>
      </w:pPr>
      <w:r>
        <w:rPr>
          <w:rFonts w:hint="eastAsia"/>
          <w:color w:val="auto"/>
          <w:highlight w:val="none"/>
        </w:rPr>
        <w:t>健全源头严防、过程严管、后果严惩的生态环境保护制度体系。进一步贯彻落实本溪市</w:t>
      </w:r>
      <w:r>
        <w:rPr>
          <w:color w:val="auto"/>
          <w:highlight w:val="none"/>
        </w:rPr>
        <w:t>关于</w:t>
      </w:r>
      <w:r>
        <w:rPr>
          <w:rFonts w:hint="eastAsia"/>
          <w:color w:val="auto"/>
          <w:highlight w:val="none"/>
        </w:rPr>
        <w:t>生态立市的相关条例，积极开展绿色矿山建设、枫树保护、文旅兴市、垃圾分类等相关条例宣传工作。加快建立南芬区统一的国土空间规划体系，实现“多规合一”。整体谋划新时代国土空间开发保护格局，科学布局生产空间、生活空间、生态空间，统筹划定落实生态保护红线、永久基本农田、城镇开发边界等空间管控边界。</w:t>
      </w:r>
    </w:p>
    <w:p w14:paraId="6E560D5F">
      <w:pPr>
        <w:ind w:firstLine="560"/>
        <w:rPr>
          <w:color w:val="auto"/>
          <w:highlight w:val="none"/>
        </w:rPr>
      </w:pPr>
      <w:r>
        <w:rPr>
          <w:color w:val="auto"/>
          <w:highlight w:val="none"/>
        </w:rPr>
        <w:t>2</w:t>
      </w:r>
      <w:r>
        <w:rPr>
          <w:rFonts w:hint="eastAsia"/>
          <w:color w:val="auto"/>
          <w:highlight w:val="none"/>
        </w:rPr>
        <w:t>.推进环保监管体制改革</w:t>
      </w:r>
    </w:p>
    <w:p w14:paraId="4B4F9BD2">
      <w:pPr>
        <w:ind w:firstLine="560"/>
        <w:rPr>
          <w:color w:val="auto"/>
          <w:highlight w:val="none"/>
        </w:rPr>
      </w:pPr>
      <w:r>
        <w:rPr>
          <w:rFonts w:hint="eastAsia"/>
          <w:color w:val="auto"/>
          <w:highlight w:val="none"/>
        </w:rPr>
        <w:t>配合市级部门推进环保监管体制改革。按市级部门相关要求，推进环境保护机构监测监察执法垂直管理制度改革工作。健全街道网格化环境监管体系。按照“属地管理、分级负责、无缝对接、全面覆盖、责任到人”的原则，进一步明确相关部门环境管理职责，在全区建立“横向到边、纵向到底”的网格环境监管体系。</w:t>
      </w:r>
    </w:p>
    <w:p w14:paraId="29681CEF">
      <w:pPr>
        <w:ind w:firstLine="560"/>
        <w:rPr>
          <w:color w:val="auto"/>
          <w:highlight w:val="none"/>
        </w:rPr>
      </w:pPr>
      <w:r>
        <w:rPr>
          <w:color w:val="auto"/>
          <w:highlight w:val="none"/>
        </w:rPr>
        <w:t>3</w:t>
      </w:r>
      <w:r>
        <w:rPr>
          <w:rFonts w:hint="eastAsia"/>
          <w:color w:val="auto"/>
          <w:highlight w:val="none"/>
        </w:rPr>
        <w:t>.严明生态环境保护责任制度</w:t>
      </w:r>
    </w:p>
    <w:p w14:paraId="33D4E099">
      <w:pPr>
        <w:ind w:firstLine="560"/>
        <w:rPr>
          <w:color w:val="auto"/>
          <w:highlight w:val="none"/>
        </w:rPr>
      </w:pPr>
      <w:r>
        <w:rPr>
          <w:rFonts w:hint="eastAsia"/>
          <w:color w:val="auto"/>
          <w:highlight w:val="none"/>
        </w:rPr>
        <w:t>根据国土空间规划体系定位差异，构建绿色GDP、GEP等考核指标，完成情况纳入绩效考核，作为监督管理生态文明建设职责部门及其负责人考核评价的重要依据，建立健全政绩差别化考核机制。开展领导干部自然资源资产离任审计。完善舆论监督制度。鼓励行业主管部门，新闻媒体联动，强化舆论监督，畅通意见诉求渠道，最大限度吸收各部门、各街道以及相关参与主体对改革方案的意见，健全意见处理和反馈机制。</w:t>
      </w:r>
    </w:p>
    <w:p w14:paraId="02D7593C">
      <w:pPr>
        <w:ind w:firstLine="560"/>
        <w:rPr>
          <w:color w:val="auto"/>
          <w:highlight w:val="none"/>
        </w:rPr>
      </w:pPr>
      <w:r>
        <w:rPr>
          <w:color w:val="auto"/>
          <w:highlight w:val="none"/>
        </w:rPr>
        <w:t>4</w:t>
      </w:r>
      <w:r>
        <w:rPr>
          <w:rFonts w:hint="eastAsia"/>
          <w:color w:val="auto"/>
          <w:highlight w:val="none"/>
        </w:rPr>
        <w:t>.发展固废资源循环利用</w:t>
      </w:r>
    </w:p>
    <w:p w14:paraId="5B23C383">
      <w:pPr>
        <w:ind w:firstLine="560"/>
        <w:rPr>
          <w:color w:val="auto"/>
          <w:highlight w:val="none"/>
        </w:rPr>
      </w:pPr>
      <w:r>
        <w:rPr>
          <w:rFonts w:hint="eastAsia"/>
          <w:color w:val="auto"/>
          <w:highlight w:val="none"/>
        </w:rPr>
        <w:t>大力发展固废资源循环利用，促进生产、流通、消费过程的减量化、再利用、资源化。充分利用我区尾矿等固体废弃物资源，积极引入以生产建筑材料为主的尾矿综合利用项目。推进东方沈家铁选厂尾矿综合利用再选项目、本溪龙新矿业尾矿填充项目和建筑填充砌块项目建设，利用铁选企业产生的尾矿，生产新型建筑保温材料和深井巷道填充物及建筑砌块，推进循环经济发展。推进聚鑫达矿山废石综合利用项目建设，生产建筑石料和机制砂，推进固体废弃物循环再利用。</w:t>
      </w:r>
    </w:p>
    <w:p w14:paraId="65DA0D36">
      <w:pPr>
        <w:ind w:firstLine="560"/>
        <w:rPr>
          <w:color w:val="auto"/>
          <w:highlight w:val="none"/>
        </w:rPr>
      </w:pPr>
      <w:r>
        <w:rPr>
          <w:color w:val="auto"/>
          <w:highlight w:val="none"/>
        </w:rPr>
        <w:t>5</w:t>
      </w:r>
      <w:r>
        <w:rPr>
          <w:rFonts w:hint="eastAsia"/>
          <w:color w:val="auto"/>
          <w:highlight w:val="none"/>
        </w:rPr>
        <w:t>.加强水资源节约利用</w:t>
      </w:r>
    </w:p>
    <w:p w14:paraId="6F10C559">
      <w:pPr>
        <w:ind w:firstLine="560"/>
        <w:rPr>
          <w:color w:val="auto"/>
          <w:highlight w:val="none"/>
        </w:rPr>
      </w:pPr>
      <w:r>
        <w:rPr>
          <w:rFonts w:hint="eastAsia"/>
          <w:color w:val="auto"/>
          <w:highlight w:val="none"/>
        </w:rPr>
        <w:t>加强水源地保护利用，严格取用水总量控制，推进水循环利用，严守水资源开发利用控制、用水效率控制、水功能区限制纳污“三条红线”，推进节水灌溉、污水处理厂等项目，促进水资源可持续利用、中水回用和经济发展方式转变，建设节水型社会。</w:t>
      </w:r>
    </w:p>
    <w:p w14:paraId="1867DA5A">
      <w:pPr>
        <w:ind w:firstLine="560"/>
        <w:rPr>
          <w:color w:val="auto"/>
          <w:highlight w:val="none"/>
        </w:rPr>
      </w:pPr>
      <w:r>
        <w:rPr>
          <w:color w:val="auto"/>
          <w:highlight w:val="none"/>
        </w:rPr>
        <w:t>6</w:t>
      </w:r>
      <w:r>
        <w:rPr>
          <w:rFonts w:hint="eastAsia"/>
          <w:color w:val="auto"/>
          <w:highlight w:val="none"/>
        </w:rPr>
        <w:t>.强化土地资源集约利用</w:t>
      </w:r>
    </w:p>
    <w:p w14:paraId="6567DBAE">
      <w:pPr>
        <w:ind w:firstLine="560"/>
        <w:rPr>
          <w:color w:val="auto"/>
          <w:highlight w:val="none"/>
        </w:rPr>
      </w:pPr>
      <w:r>
        <w:rPr>
          <w:rFonts w:hint="eastAsia"/>
          <w:color w:val="auto"/>
          <w:highlight w:val="none"/>
        </w:rPr>
        <w:t>严控新增建设用地，有效管控无序扩张。有序推进城镇低效用地再开发，推进建设用地多功能开发、地上地下立体综合开发利用，促进空置楼宇、厂房等存量资源再利用。严控农村集体建设用地规模，探索建立收储制度，盘活农村闲置建设用地。</w:t>
      </w:r>
    </w:p>
    <w:p w14:paraId="55E3E6E5">
      <w:pPr>
        <w:ind w:firstLine="560"/>
        <w:rPr>
          <w:color w:val="auto"/>
          <w:highlight w:val="none"/>
        </w:rPr>
      </w:pPr>
      <w:r>
        <w:rPr>
          <w:rFonts w:hint="eastAsia"/>
          <w:color w:val="auto"/>
          <w:highlight w:val="none"/>
        </w:rPr>
        <w:t>通过以上生态文明制度的建立与完善，确保“适宜人居、适宜创业”的南芬生态环境。</w:t>
      </w:r>
    </w:p>
    <w:tbl>
      <w:tblPr>
        <w:tblStyle w:val="19"/>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4"/>
      </w:tblGrid>
      <w:tr w14:paraId="60AB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364" w:type="dxa"/>
            <w:tcBorders>
              <w:bottom w:val="single" w:color="auto" w:sz="4" w:space="0"/>
            </w:tcBorders>
            <w:vAlign w:val="center"/>
          </w:tcPr>
          <w:p w14:paraId="3C9D75E8">
            <w:pPr>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专栏5  生态立区重点项目（1</w:t>
            </w:r>
            <w:r>
              <w:rPr>
                <w:rFonts w:hint="eastAsia" w:asciiTheme="minorEastAsia" w:hAnsiTheme="minorEastAsia" w:eastAsiaTheme="minorEastAsia"/>
                <w:b/>
                <w:color w:val="auto"/>
                <w:sz w:val="21"/>
                <w:szCs w:val="21"/>
                <w:highlight w:val="none"/>
                <w:lang w:val="en-US" w:eastAsia="zh-CN"/>
              </w:rPr>
              <w:t>2</w:t>
            </w:r>
            <w:r>
              <w:rPr>
                <w:rFonts w:hint="eastAsia" w:asciiTheme="minorEastAsia" w:hAnsiTheme="minorEastAsia" w:eastAsiaTheme="minorEastAsia"/>
                <w:b/>
                <w:color w:val="auto"/>
                <w:sz w:val="21"/>
                <w:szCs w:val="21"/>
                <w:highlight w:val="none"/>
              </w:rPr>
              <w:t>个）</w:t>
            </w:r>
          </w:p>
        </w:tc>
      </w:tr>
      <w:tr w14:paraId="2D78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364" w:type="dxa"/>
          </w:tcPr>
          <w:p w14:paraId="34F213F4">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生态治理项目：本溪津尔德有机肥有限公司畜禽粪污资源化利用项目、本溪市南芬区</w:t>
            </w:r>
            <w:r>
              <w:rPr>
                <w:rFonts w:asciiTheme="minorEastAsia" w:hAnsiTheme="minorEastAsia" w:eastAsiaTheme="minorEastAsia"/>
                <w:color w:val="auto"/>
                <w:sz w:val="21"/>
                <w:szCs w:val="21"/>
                <w:highlight w:val="none"/>
              </w:rPr>
              <w:t>2021年度闭坑矿山生态治理工程、本溪市南芬区2022年度闭坑矿山生态治理工程、本溪市南芬区下马塘镇金家硫化铁矿历史遗留矿渣及周边污染区综合治理项目</w:t>
            </w:r>
            <w:r>
              <w:rPr>
                <w:rFonts w:hint="eastAsia" w:asciiTheme="minorEastAsia" w:hAnsiTheme="minorEastAsia" w:eastAsiaTheme="minorEastAsia"/>
                <w:color w:val="auto"/>
                <w:sz w:val="21"/>
                <w:szCs w:val="21"/>
                <w:highlight w:val="none"/>
              </w:rPr>
              <w:t>、</w:t>
            </w:r>
            <w:r>
              <w:rPr>
                <w:rFonts w:asciiTheme="minorEastAsia" w:hAnsiTheme="minorEastAsia" w:eastAsiaTheme="minorEastAsia"/>
                <w:color w:val="auto"/>
                <w:sz w:val="21"/>
                <w:szCs w:val="21"/>
                <w:highlight w:val="none"/>
              </w:rPr>
              <w:t>矿业南芬露天矿矿山地质环境治理与土地复垦项目（2023）二期、南芬经济开发区环境综合整治工程、南芬区2023年历史遗留废弃矿山治理恢复项目、南芬区2024年历史遗留废弃矿山治理恢复项目、南芬区2025年历史遗留废弃矿山治理恢复项目、退化林修复、三台子中草药种植示范基</w:t>
            </w:r>
            <w:r>
              <w:rPr>
                <w:rFonts w:hint="eastAsia" w:asciiTheme="minorEastAsia" w:hAnsiTheme="minorEastAsia" w:eastAsiaTheme="minorEastAsia"/>
                <w:color w:val="auto"/>
                <w:sz w:val="21"/>
                <w:szCs w:val="21"/>
                <w:highlight w:val="none"/>
              </w:rPr>
              <w:t>地项目、辽宁省本溪市虹鳟鱼种质资源场建设项目</w:t>
            </w:r>
            <w:r>
              <w:rPr>
                <w:rFonts w:asciiTheme="minorEastAsia" w:hAnsiTheme="minorEastAsia" w:eastAsiaTheme="minorEastAsia"/>
                <w:color w:val="auto"/>
                <w:sz w:val="21"/>
                <w:szCs w:val="21"/>
                <w:highlight w:val="none"/>
              </w:rPr>
              <w:t>。</w:t>
            </w:r>
          </w:p>
        </w:tc>
      </w:tr>
    </w:tbl>
    <w:p w14:paraId="34D88E03">
      <w:pPr>
        <w:ind w:firstLine="560"/>
        <w:rPr>
          <w:color w:val="auto"/>
          <w:kern w:val="44"/>
          <w:highlight w:val="none"/>
        </w:rPr>
      </w:pPr>
      <w:r>
        <w:rPr>
          <w:color w:val="auto"/>
          <w:highlight w:val="none"/>
        </w:rPr>
        <w:br w:type="page"/>
      </w:r>
    </w:p>
    <w:p w14:paraId="260A2F3D">
      <w:pPr>
        <w:pStyle w:val="3"/>
        <w:ind w:firstLine="643"/>
        <w:rPr>
          <w:color w:val="auto"/>
          <w:highlight w:val="none"/>
        </w:rPr>
      </w:pPr>
      <w:bookmarkStart w:id="32" w:name="_Toc143701977"/>
      <w:r>
        <w:rPr>
          <w:color w:val="auto"/>
          <w:highlight w:val="none"/>
        </w:rPr>
        <w:t>第</w:t>
      </w:r>
      <w:r>
        <w:rPr>
          <w:rFonts w:hint="eastAsia"/>
          <w:color w:val="auto"/>
          <w:highlight w:val="none"/>
        </w:rPr>
        <w:t>八</w:t>
      </w:r>
      <w:r>
        <w:rPr>
          <w:color w:val="auto"/>
          <w:highlight w:val="none"/>
        </w:rPr>
        <w:t>章</w:t>
      </w:r>
      <w:r>
        <w:rPr>
          <w:rFonts w:hint="eastAsia"/>
          <w:color w:val="auto"/>
          <w:highlight w:val="none"/>
        </w:rPr>
        <w:t xml:space="preserve"> 协调发展篇</w:t>
      </w:r>
      <w:bookmarkEnd w:id="32"/>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3FBBFD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21DBED1B">
            <w:pPr>
              <w:pStyle w:val="8"/>
              <w:ind w:firstLine="48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政策依据</w:t>
            </w:r>
            <w:r>
              <w:rPr>
                <w:rFonts w:hint="eastAsia" w:asciiTheme="minorEastAsia" w:hAnsiTheme="minorEastAsia" w:eastAsiaTheme="minorEastAsia"/>
                <w:color w:val="auto"/>
                <w:sz w:val="24"/>
                <w:highlight w:val="none"/>
              </w:rPr>
              <w:t>：《中共中央国务院关于建立健全城乡融合发展体制机制和政策体系的意见》、《国务院关于深入推进新型城镇化建设的若干意见》、《乡村振兴科技支撑行动实施方案》、《国务院关于促进乡村产业振兴的指导意见》、《全国乡村产业发展规划（2020-2025年）》、《辽宁省人民政府关于推进农业供给侧结构性改革的实施意见》</w:t>
            </w:r>
          </w:p>
        </w:tc>
      </w:tr>
      <w:tr w14:paraId="29FEBB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524D9A62">
            <w:pPr>
              <w:pStyle w:val="8"/>
              <w:ind w:firstLine="48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规划主题</w:t>
            </w:r>
            <w:r>
              <w:rPr>
                <w:rFonts w:hint="eastAsia" w:asciiTheme="minorEastAsia" w:hAnsiTheme="minorEastAsia" w:eastAsiaTheme="minorEastAsia"/>
                <w:color w:val="auto"/>
                <w:sz w:val="24"/>
                <w:highlight w:val="none"/>
              </w:rPr>
              <w:t>：致力城乡协调，统筹兼顾融通南芬血脉</w:t>
            </w:r>
          </w:p>
        </w:tc>
      </w:tr>
      <w:tr w14:paraId="34FB38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07614861">
            <w:pPr>
              <w:pStyle w:val="8"/>
              <w:ind w:firstLine="48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规划领域</w:t>
            </w:r>
            <w:r>
              <w:rPr>
                <w:rFonts w:hint="eastAsia" w:asciiTheme="minorEastAsia" w:hAnsiTheme="minorEastAsia" w:eastAsiaTheme="minorEastAsia"/>
                <w:color w:val="auto"/>
                <w:sz w:val="24"/>
                <w:highlight w:val="none"/>
              </w:rPr>
              <w:t>：新型城镇化、城乡统筹协调领域</w:t>
            </w:r>
          </w:p>
        </w:tc>
      </w:tr>
      <w:tr w14:paraId="6A8654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8E1D55F">
            <w:pPr>
              <w:pStyle w:val="8"/>
              <w:ind w:firstLine="48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规划重点</w:t>
            </w:r>
            <w:r>
              <w:rPr>
                <w:rFonts w:hint="eastAsia" w:asciiTheme="minorEastAsia" w:hAnsiTheme="minorEastAsia" w:eastAsiaTheme="minorEastAsia"/>
                <w:color w:val="auto"/>
                <w:sz w:val="24"/>
                <w:highlight w:val="none"/>
              </w:rPr>
              <w:t>：新型城镇化、城乡融合、智慧城市、统筹协调、矿区改造、基础设施、乡村振兴</w:t>
            </w:r>
          </w:p>
        </w:tc>
      </w:tr>
    </w:tbl>
    <w:p w14:paraId="399BD960">
      <w:pPr>
        <w:ind w:firstLine="560"/>
        <w:rPr>
          <w:color w:val="auto"/>
          <w:highlight w:val="none"/>
        </w:rPr>
      </w:pPr>
      <w:r>
        <w:rPr>
          <w:rFonts w:hint="eastAsia"/>
          <w:color w:val="auto"/>
          <w:highlight w:val="none"/>
        </w:rPr>
        <w:t>坚持“以人为本、绿色发展，市场主导、政府推动，城乡融合、公平均等，改革创新、激发活力，因地制宜、分类推进”的原则，逐步建立健全城乡融合发展的体制机制，对标协调发展理念，通过“</w:t>
      </w:r>
      <w:r>
        <w:rPr>
          <w:rFonts w:hint="eastAsia"/>
          <w:b/>
          <w:color w:val="auto"/>
          <w:highlight w:val="none"/>
        </w:rPr>
        <w:t>一体两翼</w:t>
      </w:r>
      <w:r>
        <w:rPr>
          <w:rFonts w:hint="eastAsia"/>
          <w:color w:val="auto"/>
          <w:highlight w:val="none"/>
        </w:rPr>
        <w:t>”新型城镇化建设，实现与本溪主城区的深度融合，实施城乡一体化重要基础设施改造，独立工矿区改造搬迁，推进乡村振兴战略，把南芬打造成为“城乡发展均衡、基础设施和公共服务功能完善”的智慧化城区，打造</w:t>
      </w:r>
      <w:r>
        <w:rPr>
          <w:rFonts w:hint="eastAsia"/>
          <w:b/>
          <w:bCs/>
          <w:color w:val="auto"/>
          <w:highlight w:val="none"/>
        </w:rPr>
        <w:t>和谐南芬</w:t>
      </w:r>
      <w:r>
        <w:rPr>
          <w:rFonts w:hint="eastAsia"/>
          <w:color w:val="auto"/>
          <w:highlight w:val="none"/>
        </w:rPr>
        <w:t>。</w:t>
      </w:r>
    </w:p>
    <w:p w14:paraId="5B75DB1E">
      <w:pPr>
        <w:pStyle w:val="4"/>
        <w:ind w:firstLine="643"/>
        <w:rPr>
          <w:color w:val="auto"/>
          <w:highlight w:val="none"/>
        </w:rPr>
      </w:pPr>
      <w:bookmarkStart w:id="33" w:name="_Toc143701978"/>
      <w:r>
        <w:rPr>
          <w:color w:val="auto"/>
          <w:highlight w:val="none"/>
        </w:rPr>
        <w:t>第</w:t>
      </w:r>
      <w:r>
        <w:rPr>
          <w:rFonts w:hint="eastAsia"/>
          <w:color w:val="auto"/>
          <w:highlight w:val="none"/>
        </w:rPr>
        <w:t>一</w:t>
      </w:r>
      <w:r>
        <w:rPr>
          <w:color w:val="auto"/>
          <w:highlight w:val="none"/>
        </w:rPr>
        <w:t>节</w:t>
      </w:r>
      <w:r>
        <w:rPr>
          <w:rFonts w:hint="eastAsia"/>
          <w:color w:val="auto"/>
          <w:highlight w:val="none"/>
        </w:rPr>
        <w:t xml:space="preserve"> 全面推进“一体两翼”新型城镇化</w:t>
      </w:r>
      <w:bookmarkEnd w:id="33"/>
    </w:p>
    <w:p w14:paraId="77913E7C">
      <w:pPr>
        <w:ind w:firstLine="560"/>
        <w:rPr>
          <w:color w:val="auto"/>
          <w:highlight w:val="none"/>
        </w:rPr>
      </w:pPr>
      <w:r>
        <w:rPr>
          <w:rFonts w:hint="eastAsia"/>
          <w:color w:val="auto"/>
          <w:highlight w:val="none"/>
        </w:rPr>
        <w:t>1.加强全局意识，推动南芬与主城区全面融合</w:t>
      </w:r>
    </w:p>
    <w:p w14:paraId="17E56915">
      <w:pPr>
        <w:ind w:firstLine="560"/>
        <w:rPr>
          <w:color w:val="auto"/>
          <w:highlight w:val="none"/>
        </w:rPr>
      </w:pPr>
      <w:r>
        <w:rPr>
          <w:rFonts w:hint="eastAsia"/>
          <w:color w:val="auto"/>
          <w:highlight w:val="none"/>
        </w:rPr>
        <w:t>按照“融入主城区，建设后花园”的理念，主动把南芬区作为大市区的有机组成部分，在经济发展方面作为重要产业布局承载地，在社会民生方面全面实现与主城区设施和功能平衡。以青云山景区为门户性节点，以后新线旅游路、丹霍线改造等道路建设为纽带，实现公交通车运营，缩短与主城区的时空距离。全力推动绿色矿山智慧小镇、辽砚文化小镇建设，缩小与主城区基础设施建设及公共服务能力差距。完善红色旅游精品线路及大冰沟、大峡谷景区群建设，促进主城区休憩旅游与生态康养等产业功能南移。通过“一区、三基地”产业基础设施建设，结合国道丹霍线千金岭至下马塘段全面提升改线，实现高新区—本钢主厂区—桥北—南芬范围内绿色制造业大通廊全方位贯通。最终实现以民生领域共享、服务业互补、制造业贯通为标志的南芬区与主城区全面融合。</w:t>
      </w:r>
    </w:p>
    <w:p w14:paraId="52542EA7">
      <w:pPr>
        <w:ind w:firstLine="560"/>
        <w:rPr>
          <w:color w:val="auto"/>
          <w:highlight w:val="none"/>
        </w:rPr>
      </w:pPr>
      <w:r>
        <w:rPr>
          <w:color w:val="auto"/>
          <w:highlight w:val="none"/>
        </w:rPr>
        <w:t>2.</w:t>
      </w:r>
      <w:r>
        <w:rPr>
          <w:rFonts w:hint="eastAsia"/>
          <w:color w:val="auto"/>
          <w:highlight w:val="none"/>
        </w:rPr>
        <w:t>加强城建规划，构建城市“一体两翼”发展格局</w:t>
      </w:r>
    </w:p>
    <w:p w14:paraId="547956EE">
      <w:pPr>
        <w:ind w:firstLine="560"/>
        <w:rPr>
          <w:color w:val="auto"/>
          <w:highlight w:val="none"/>
        </w:rPr>
      </w:pPr>
      <w:r>
        <w:rPr>
          <w:rFonts w:hint="eastAsia"/>
          <w:color w:val="auto"/>
          <w:highlight w:val="none"/>
        </w:rPr>
        <w:t>科学编制南芬区发展专项规划，紧紧围绕“丰富城市内涵、提升城市品位、增加城市亮点、完善城市功能”的发展思路，强化城乡一体设计，合理制定南芬区城市建设“一体两翼”式发展格局。规划南芬街道为“一体”，思山岭街道为“北翼”，下马塘街道为“南翼”，呈现出腾飞之势，预示着南芬区在十四五期间乘势而上，助推本溪市大展宏图。通过两个“飞翼”建设实现城市基础设施向农村延伸。规划要从充分体现科学性，按照“多规合一”要求编制南芬区空间规划，实现土地利用规划、城乡规划等有机融合，确保“三区三线”在南芬区层面精准落地。</w:t>
      </w:r>
    </w:p>
    <w:p w14:paraId="77048B09">
      <w:pPr>
        <w:ind w:firstLine="560"/>
        <w:rPr>
          <w:color w:val="auto"/>
          <w:highlight w:val="none"/>
        </w:rPr>
      </w:pPr>
      <w:r>
        <w:rPr>
          <w:color w:val="auto"/>
          <w:highlight w:val="none"/>
        </w:rPr>
        <w:t>3.</w:t>
      </w:r>
      <w:r>
        <w:rPr>
          <w:rFonts w:hint="eastAsia"/>
          <w:color w:val="auto"/>
          <w:highlight w:val="none"/>
        </w:rPr>
        <w:t>推进“一体两翼”布局，建设服务南芬发展的各类功能区</w:t>
      </w:r>
    </w:p>
    <w:p w14:paraId="1945D236">
      <w:pPr>
        <w:ind w:firstLine="0" w:firstLineChars="0"/>
        <w:rPr>
          <w:color w:val="auto"/>
          <w:highlight w:val="none"/>
        </w:rPr>
      </w:pPr>
      <w:r>
        <w:rPr>
          <w:color w:val="auto"/>
          <w:highlight w:val="none"/>
        </w:rPr>
        <w:drawing>
          <wp:inline distT="0" distB="0" distL="0" distR="0">
            <wp:extent cx="5274310" cy="6249670"/>
            <wp:effectExtent l="0" t="0" r="2540" b="0"/>
            <wp:docPr id="4" name="图片 4" descr="E:\2.高校科研文件\3.县域经济总课题\南芬区十四五规划\南芬区地图\南芬区“一体两翼”城镇布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高校科研文件\3.县域经济总课题\南芬区十四五规划\南芬区地图\南芬区“一体两翼”城镇布局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6249938"/>
                    </a:xfrm>
                    <a:prstGeom prst="rect">
                      <a:avLst/>
                    </a:prstGeom>
                    <a:noFill/>
                    <a:ln>
                      <a:noFill/>
                    </a:ln>
                  </pic:spPr>
                </pic:pic>
              </a:graphicData>
            </a:graphic>
          </wp:inline>
        </w:drawing>
      </w:r>
    </w:p>
    <w:p w14:paraId="064BCF74">
      <w:pPr>
        <w:ind w:firstLine="560"/>
        <w:rPr>
          <w:color w:val="auto"/>
          <w:highlight w:val="none"/>
        </w:rPr>
      </w:pPr>
      <w:r>
        <w:rPr>
          <w:rFonts w:hint="eastAsia"/>
          <w:color w:val="auto"/>
          <w:highlight w:val="none"/>
        </w:rPr>
        <w:t>培育南芬街道“一体”，发展城乡产业协同发展基础功能区，推动城乡要素跨界配置和产业有机融合。推进南芬街道的商贸、金融、餐饮、娱乐、住宿、消费、休闲等服务设施和功能建设，提升南芬街道的城市服务品质，起到支持南芬全区工业、农业、服务业健康发展的基础性作用。加快实施“旧城区改造”，力争消灭城中村，使南芬街道“一体”发展成为支撑文旅产业发展和拉动城乡建设的动力源。</w:t>
      </w:r>
    </w:p>
    <w:p w14:paraId="3332D56D">
      <w:pPr>
        <w:ind w:firstLine="560"/>
        <w:rPr>
          <w:color w:val="auto"/>
          <w:highlight w:val="none"/>
        </w:rPr>
      </w:pPr>
      <w:r>
        <w:rPr>
          <w:rFonts w:hint="eastAsia"/>
          <w:color w:val="auto"/>
          <w:highlight w:val="none"/>
        </w:rPr>
        <w:t>发展思山岭街道“北翼”，将思山岭新城打造成矿业、旅游发展配套服务功能区；依托思山岭铁矿绿色深地矿山开采，形成集矿山开采、矿山工业观光、科普教育、工业采矿博览于一体的生产、生活、生态融合发展的南芬智慧矿山生态小镇。依托思山岭甬子峪村国家级少数民族特色村寨，进行房屋、庭院、道路改造、村屯绿化、广场景观、小流域治理等项目建设，全面提升思山岭地区城镇化水平。利用丹霍线改造、青云山旅游景区、思山岭矿山小镇的发展，把南芬区与主城区衔接起来。</w:t>
      </w:r>
    </w:p>
    <w:p w14:paraId="50473815">
      <w:pPr>
        <w:ind w:firstLine="560"/>
        <w:rPr>
          <w:color w:val="auto"/>
          <w:highlight w:val="none"/>
        </w:rPr>
      </w:pPr>
      <w:r>
        <w:rPr>
          <w:rFonts w:hint="eastAsia"/>
          <w:color w:val="auto"/>
          <w:highlight w:val="none"/>
        </w:rPr>
        <w:t>发展下马塘街道“南翼”，结合下马塘区域内资源的多样性，将下马塘街道打造成开发区配套服务功能区。依托开发区铸造产业园，形成集铸造、装备制造、消防设备生产于一体的生产与生活型下马塘工业生产社区。依托开发区新材料产业基地，形成硅石、方解石和石灰石生产与加工为一体的生产与生活新社区。依托铸造产业小镇，进行道路改造、城镇绿化、广场景观等项目建设，全面提升下马塘街道城镇化水平。</w:t>
      </w:r>
    </w:p>
    <w:p w14:paraId="678EBCB4">
      <w:pPr>
        <w:ind w:firstLine="560"/>
        <w:rPr>
          <w:color w:val="auto"/>
          <w:highlight w:val="none"/>
        </w:rPr>
      </w:pPr>
      <w:r>
        <w:rPr>
          <w:rFonts w:hint="eastAsia"/>
          <w:color w:val="auto"/>
          <w:highlight w:val="none"/>
        </w:rPr>
        <w:t>到2025年，城镇人均住房建筑面积达到35平方米；城镇最低收入家庭人均住房面积大于20平方米；城区人均道路面积达到7平方米；棚户区改造任务全部完成；主城区排水设施全部实现雨污分流；城镇污水处理率达到100%；完善下马塘、思山岭污水处理设施，污水处理率80%以上；城区公厕改造率达到100%；住宅小区物业覆盖率达到100%；人均公园绿地面积达到8.8平方米；城乡燃气覆盖率达到50%以上；城市生活垃圾无害化处理率持续保持100%；基本解决主城区停车难问题。</w:t>
      </w:r>
    </w:p>
    <w:p w14:paraId="3BC8F0F8">
      <w:pPr>
        <w:pStyle w:val="4"/>
        <w:ind w:firstLine="643"/>
        <w:rPr>
          <w:color w:val="auto"/>
          <w:highlight w:val="none"/>
        </w:rPr>
      </w:pPr>
      <w:bookmarkStart w:id="34" w:name="_Toc143701979"/>
      <w:r>
        <w:rPr>
          <w:rFonts w:hint="eastAsia"/>
          <w:color w:val="auto"/>
          <w:highlight w:val="none"/>
        </w:rPr>
        <w:t>第二节 进一步加强重大基础设施建设</w:t>
      </w:r>
      <w:bookmarkEnd w:id="34"/>
    </w:p>
    <w:p w14:paraId="413760E3">
      <w:pPr>
        <w:ind w:firstLine="560"/>
        <w:rPr>
          <w:color w:val="auto"/>
          <w:highlight w:val="none"/>
        </w:rPr>
      </w:pPr>
      <w:r>
        <w:rPr>
          <w:rFonts w:hint="eastAsia"/>
          <w:color w:val="auto"/>
          <w:highlight w:val="none"/>
        </w:rPr>
        <w:t>优化城区布局，更好发挥城区连接市区、服务乡村作用，促进城乡一体化发展。健全城乡基础设施一体化规划、建设机制，加强重大基础设施建设。</w:t>
      </w:r>
    </w:p>
    <w:p w14:paraId="338061EB">
      <w:pPr>
        <w:ind w:firstLine="560"/>
        <w:rPr>
          <w:color w:val="auto"/>
          <w:highlight w:val="none"/>
        </w:rPr>
      </w:pPr>
      <w:r>
        <w:rPr>
          <w:rFonts w:hint="eastAsia"/>
          <w:color w:val="auto"/>
          <w:highlight w:val="none"/>
        </w:rPr>
        <w:t>1.打造综合立体交通网络</w:t>
      </w:r>
    </w:p>
    <w:p w14:paraId="4E517F6A">
      <w:pPr>
        <w:ind w:firstLine="560"/>
        <w:rPr>
          <w:color w:val="auto"/>
          <w:highlight w:val="none"/>
        </w:rPr>
      </w:pPr>
      <w:r>
        <w:rPr>
          <w:rFonts w:hint="eastAsia"/>
          <w:color w:val="auto"/>
          <w:highlight w:val="none"/>
        </w:rPr>
        <w:t>加快补齐区域交通基础设施短板，构筑“三纵三横一环”公路网。纵向形成以丹阜高速主体，国道丹霍线、细河产业大道为补充的3条纵向通道，使得沈阳-本溪-南芬-丹东方向连接更加便捷；横向形成省道本宽线（北）、乡道解梨线及柏永线（中）、乡道施小线（南）的3条横向通道，打通辽阳-南芬-本溪县间的交通瓶颈；促进旅游区开发建设，提升旅游体验，进而吸引更多游客，南芬区拟形成以省道本宽线、细河产业大道（滨河路）、施小线及新建线路为主体的旅游环线，围绕大冰沟、大峡谷、四方台、五鼎山、北大山等旅游景区，完善交通设施，打通沿线旅游经济，提升游客通行体验。</w:t>
      </w:r>
      <w:r>
        <w:rPr>
          <w:color w:val="auto"/>
          <w:highlight w:val="none"/>
        </w:rPr>
        <w:t>全力推进丹霍线三期、本宽线（二道河-三台子段）、绿色矿山产业大道、施小线（小高岭）等项目落位。</w:t>
      </w:r>
    </w:p>
    <w:p w14:paraId="66A52D2D">
      <w:pPr>
        <w:ind w:firstLine="560"/>
        <w:rPr>
          <w:color w:val="auto"/>
          <w:highlight w:val="none"/>
        </w:rPr>
      </w:pPr>
      <w:r>
        <w:rPr>
          <w:rFonts w:hint="eastAsia"/>
          <w:color w:val="auto"/>
          <w:highlight w:val="none"/>
        </w:rPr>
        <w:t>大力实施国省干线公路升级改造，强化主城区南北通达能力。以南芬经济开发区、龙新矿业、中泰矿业、东铄新材料、东方选厂、马家选厂等工矿企业为中心，实施园区路、资源路建设，升级完善企业周边道路基础设施，打通开发区与沿海港口的交通瓶颈，助力企业发展，促进经济腾飞。依托沈丹客专、沈丹铁路全力打造</w:t>
      </w:r>
      <w:r>
        <w:rPr>
          <w:color w:val="auto"/>
          <w:highlight w:val="none"/>
        </w:rPr>
        <w:drawing>
          <wp:anchor distT="0" distB="0" distL="114300" distR="114300" simplePos="0" relativeHeight="251660288" behindDoc="0" locked="0" layoutInCell="1" allowOverlap="1">
            <wp:simplePos x="0" y="0"/>
            <wp:positionH relativeFrom="column">
              <wp:posOffset>-372110</wp:posOffset>
            </wp:positionH>
            <wp:positionV relativeFrom="paragraph">
              <wp:posOffset>457200</wp:posOffset>
            </wp:positionV>
            <wp:extent cx="6048375" cy="5020310"/>
            <wp:effectExtent l="0" t="0" r="9525" b="8890"/>
            <wp:wrapTopAndBottom/>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48375" cy="5020310"/>
                    </a:xfrm>
                    <a:prstGeom prst="rect">
                      <a:avLst/>
                    </a:prstGeom>
                    <a:noFill/>
                    <a:ln>
                      <a:noFill/>
                    </a:ln>
                  </pic:spPr>
                </pic:pic>
              </a:graphicData>
            </a:graphic>
          </wp:anchor>
        </w:drawing>
      </w:r>
      <w:r>
        <w:rPr>
          <w:rFonts w:hint="eastAsia"/>
          <w:color w:val="auto"/>
          <w:highlight w:val="none"/>
        </w:rPr>
        <w:t>南芬经济开发区（下马塘）铁路货运支线、物流枢纽和思山岭绿色矿山铁路货运支线、物流枢纽，缓解公路运输压力，降低客货车辆混行量，减少安全隐患，为建设全域旅游示范区打下坚实基础。</w:t>
      </w:r>
    </w:p>
    <w:p w14:paraId="617242A7">
      <w:pPr>
        <w:ind w:firstLine="560"/>
        <w:rPr>
          <w:color w:val="auto"/>
          <w:highlight w:val="none"/>
        </w:rPr>
      </w:pPr>
      <w:r>
        <w:rPr>
          <w:rFonts w:hint="eastAsia"/>
          <w:color w:val="auto"/>
          <w:highlight w:val="none"/>
        </w:rPr>
        <w:t>确立城市公共交通优先发展地位，推进城乡公交一体化，完善升级农村客运线路，实现“主—辅—节点式”的客运枢纽布局。</w:t>
      </w:r>
    </w:p>
    <w:p w14:paraId="6DFF71CA">
      <w:pPr>
        <w:ind w:firstLine="560"/>
        <w:rPr>
          <w:color w:val="auto"/>
          <w:highlight w:val="none"/>
        </w:rPr>
      </w:pPr>
      <w:r>
        <w:rPr>
          <w:rFonts w:hint="eastAsia"/>
          <w:color w:val="auto"/>
          <w:highlight w:val="none"/>
        </w:rPr>
        <w:t>新建龙新矿业管道运输、中泰矿业管道运输两个项目，服务于龙新、中泰矿业运输，实现公路、铁路、管道运输三分离。</w:t>
      </w:r>
    </w:p>
    <w:p w14:paraId="368384B4">
      <w:pPr>
        <w:ind w:firstLine="560"/>
        <w:rPr>
          <w:color w:val="auto"/>
          <w:highlight w:val="none"/>
        </w:rPr>
      </w:pPr>
      <w:r>
        <w:rPr>
          <w:rFonts w:hint="eastAsia"/>
          <w:color w:val="auto"/>
          <w:highlight w:val="none"/>
        </w:rPr>
        <w:t>经过规划期后，南芬区交通基础设施网络更加完善、运输服务水平明显提升、绿色交通体系基本形成、平安交通取得良好成效、交通管理能力显著增强，逐步形成“公路、铁路、管道”三分离的综合立体交通运输格局，满足南芬交通现代化的发展需要，有效支撑和引领南芬经济社会持续健康发展。</w:t>
      </w:r>
      <w:r>
        <w:rPr>
          <w:color w:val="auto"/>
          <w:highlight w:val="none"/>
        </w:rPr>
        <w:t>到</w:t>
      </w:r>
      <w:r>
        <w:rPr>
          <w:rFonts w:hint="eastAsia"/>
          <w:color w:val="auto"/>
          <w:highlight w:val="none"/>
        </w:rPr>
        <w:t>2025年，完成交通建设项目28个，新改建和维修改造升级总里程达154.3公里，总投资约16.3亿元。</w:t>
      </w:r>
    </w:p>
    <w:p w14:paraId="6440A759">
      <w:pPr>
        <w:ind w:firstLine="560"/>
        <w:rPr>
          <w:color w:val="auto"/>
          <w:highlight w:val="none"/>
        </w:rPr>
      </w:pPr>
      <w:r>
        <w:rPr>
          <w:rFonts w:hint="eastAsia"/>
          <w:color w:val="auto"/>
          <w:highlight w:val="none"/>
        </w:rPr>
        <w:t>2.实施城市更新行动</w:t>
      </w:r>
    </w:p>
    <w:p w14:paraId="197F28F2">
      <w:pPr>
        <w:ind w:firstLine="560"/>
        <w:rPr>
          <w:rFonts w:ascii="仿宋" w:hAnsi="仿宋" w:cs="仿宋"/>
          <w:color w:val="auto"/>
          <w:highlight w:val="none"/>
        </w:rPr>
      </w:pPr>
      <w:r>
        <w:rPr>
          <w:rFonts w:hint="eastAsia"/>
          <w:color w:val="auto"/>
          <w:highlight w:val="none"/>
        </w:rPr>
        <w:t>全力争创全国文明城市，开展爱国卫生运动，加强市容环境治理，推进宜居城市建设。实施城市管理数字化提升行动，推进市政基础设施智能化管理，不断完善城市基础设施，加快推进南芬城区排水系统提标改造工程，解决南芬城区排水问题，彻底实现雨污分流。对南芬区政府旁平房区域及赵家村五组等棚户区实施改造，改善棚户区居民住房环境。推进南芬城区防洪沟综合整治项目，加大城区泄洪排洪能力，降低城区内涝风险。加快城市燃气管道等老化更新改造工程等工程建设，消除安全隐患，彻底告别“扛罐上楼”的历史。持续解决“停车难”问题，推进公共停车场建设工程，倡导绿色生活，并从未来发展趋势角度出发，预安装汽车充电设施，填补我区基础设施空白。加快推进基础设施向农村延伸，力争十四五期间将供水、供气管道延伸至思山岭和下马塘。开展南芬区生态湿地保护利用设施建设项目，改善细河城区段生态环境，为百姓优美的休闲健身环境。</w:t>
      </w:r>
      <w:r>
        <w:rPr>
          <w:rFonts w:hint="eastAsia" w:ascii="仿宋" w:hAnsi="仿宋" w:cs="仿宋"/>
          <w:color w:val="auto"/>
          <w:highlight w:val="none"/>
        </w:rPr>
        <w:t>完善便民商业网络，打造 15 分钟便民生活圈。推进小区物业化管理，更新老旧燃气、供水、供热、排水管网。加快老旧街区更新改造、社区物业管理和争创社区试点建设，改造老旧小区2个，争创完整社区试点4个。</w:t>
      </w:r>
    </w:p>
    <w:p w14:paraId="2F87FC41">
      <w:pPr>
        <w:ind w:firstLine="560"/>
        <w:rPr>
          <w:color w:val="auto"/>
          <w:highlight w:val="none"/>
        </w:rPr>
      </w:pPr>
      <w:r>
        <w:rPr>
          <w:rFonts w:hint="eastAsia"/>
          <w:color w:val="auto"/>
          <w:highlight w:val="none"/>
        </w:rPr>
        <w:t>3.加大水利工程建设利用</w:t>
      </w:r>
    </w:p>
    <w:p w14:paraId="64FFB032">
      <w:pPr>
        <w:ind w:firstLine="560"/>
        <w:rPr>
          <w:color w:val="auto"/>
          <w:highlight w:val="none"/>
        </w:rPr>
      </w:pPr>
      <w:r>
        <w:rPr>
          <w:rFonts w:hint="eastAsia"/>
          <w:color w:val="auto"/>
          <w:highlight w:val="none"/>
        </w:rPr>
        <w:t>制定水系整治规划，全面实施流域治理。紧紧围绕“水利工程补短板、水利行业强监管”的水利改革发展总基调，统筹谋划，扎实推进重大水利项目建设。对中小河流域进行统一规划，分步分类进行综合治理：针对流域面积为200-3000km</w:t>
      </w:r>
      <w:r>
        <w:rPr>
          <w:rFonts w:hint="eastAsia"/>
          <w:color w:val="auto"/>
          <w:highlight w:val="none"/>
          <w:vertAlign w:val="superscript"/>
        </w:rPr>
        <w:t>2</w:t>
      </w:r>
      <w:r>
        <w:rPr>
          <w:rFonts w:hint="eastAsia"/>
          <w:color w:val="auto"/>
          <w:highlight w:val="none"/>
        </w:rPr>
        <w:t>的细河、三道河分四段进行整治，争取对三道河进行全流域综合性规划整治，将三道河打造成全省生态河道典范，全面提升细河城区段的景观和设施；对流域面积为50-200km</w:t>
      </w:r>
      <w:r>
        <w:rPr>
          <w:rFonts w:hint="eastAsia"/>
          <w:color w:val="auto"/>
          <w:highlight w:val="none"/>
          <w:vertAlign w:val="superscript"/>
        </w:rPr>
        <w:t>2</w:t>
      </w:r>
      <w:r>
        <w:rPr>
          <w:rFonts w:hint="eastAsia"/>
          <w:color w:val="auto"/>
          <w:highlight w:val="none"/>
        </w:rPr>
        <w:t>的河流和重点山洪沟进行山洪沟综合治理，针对其余小型河流按水土保持和防汛应急进行基础设施的加强。</w:t>
      </w:r>
    </w:p>
    <w:tbl>
      <w:tblPr>
        <w:tblStyle w:val="19"/>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4"/>
      </w:tblGrid>
      <w:tr w14:paraId="0523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364" w:type="dxa"/>
            <w:tcBorders>
              <w:bottom w:val="single" w:color="auto" w:sz="4" w:space="0"/>
            </w:tcBorders>
            <w:vAlign w:val="center"/>
          </w:tcPr>
          <w:p w14:paraId="05C5E790">
            <w:pPr>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专栏6  重点基础设施项目（</w:t>
            </w:r>
            <w:r>
              <w:rPr>
                <w:rFonts w:hint="eastAsia" w:asciiTheme="minorEastAsia" w:hAnsiTheme="minorEastAsia" w:eastAsiaTheme="minorEastAsia"/>
                <w:b/>
                <w:color w:val="auto"/>
                <w:sz w:val="21"/>
                <w:szCs w:val="21"/>
                <w:highlight w:val="none"/>
                <w:lang w:val="en-US" w:eastAsia="zh-CN"/>
              </w:rPr>
              <w:t>59</w:t>
            </w:r>
            <w:r>
              <w:rPr>
                <w:rFonts w:hint="eastAsia" w:asciiTheme="minorEastAsia" w:hAnsiTheme="minorEastAsia" w:eastAsiaTheme="minorEastAsia"/>
                <w:b/>
                <w:color w:val="auto"/>
                <w:sz w:val="21"/>
                <w:szCs w:val="21"/>
                <w:highlight w:val="none"/>
              </w:rPr>
              <w:t>个）</w:t>
            </w:r>
          </w:p>
        </w:tc>
      </w:tr>
      <w:tr w14:paraId="45C0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364" w:type="dxa"/>
          </w:tcPr>
          <w:p w14:paraId="3808EFED">
            <w:pPr>
              <w:ind w:firstLine="420"/>
              <w:rPr>
                <w:rFonts w:hint="eastAsia" w:asciiTheme="minorEastAsia" w:hAnsiTheme="minorEastAsia" w:eastAsiaTheme="minorEastAsia"/>
                <w:color w:val="auto"/>
                <w:sz w:val="21"/>
                <w:szCs w:val="21"/>
                <w:highlight w:val="none"/>
                <w:lang w:eastAsia="zh-CN"/>
              </w:rPr>
            </w:pPr>
            <w:r>
              <w:rPr>
                <w:rFonts w:hint="eastAsia" w:asciiTheme="minorEastAsia" w:hAnsiTheme="minorEastAsia" w:eastAsiaTheme="minorEastAsia"/>
                <w:color w:val="auto"/>
                <w:sz w:val="21"/>
                <w:szCs w:val="21"/>
                <w:highlight w:val="none"/>
              </w:rPr>
              <w:t>交通路网项目：南芬区矿山路改扩建工程、本宽线拓宽改造工程（思山岭段）、本宽线甬子峪西街至小滴子段新建工程（甬子峪特色村寨外环线旅游路）、本溪绕城环线公路改扩建工程（欢思线）、本溪至庄河高速起始站（下马塘）建设项目、丹霍线南芬至桥头段新建工程项目、丹霍线千金岭隧道及引线至桥头段改造工程（新建另一幅千金岭隧道）、沟宋线太平</w:t>
            </w:r>
            <w:r>
              <w:rPr>
                <w:rFonts w:asciiTheme="minorEastAsia" w:hAnsiTheme="minorEastAsia" w:eastAsiaTheme="minorEastAsia"/>
                <w:color w:val="auto"/>
                <w:sz w:val="21"/>
                <w:szCs w:val="21"/>
                <w:highlight w:val="none"/>
              </w:rPr>
              <w:t>4号桥至永安段升级改造工程、经济开发区铁路货运专线项目、开发区道路改造提升工程、南芬经济开发区路网建设工程、南芬区2022年农村公路综合整治工程、南芬区2023年农村公路建设工程、南芬区高南线建设工程（丹霍</w:t>
            </w:r>
            <w:r>
              <w:rPr>
                <w:rFonts w:hint="eastAsia" w:asciiTheme="minorEastAsia" w:hAnsiTheme="minorEastAsia" w:eastAsiaTheme="minorEastAsia"/>
                <w:color w:val="auto"/>
                <w:sz w:val="21"/>
                <w:szCs w:val="21"/>
                <w:highlight w:val="none"/>
              </w:rPr>
              <w:t>线改线）、南芬区后新线旅游路升级改造工程、南芬区农村公路综合整治工程、南芬区施小线八道沟至小高岭段建设工程、南芬区下深线下马塘至柏</w:t>
            </w:r>
            <w:r>
              <w:rPr>
                <w:rFonts w:hint="eastAsia" w:asciiTheme="minorEastAsia" w:hAnsiTheme="minorEastAsia" w:eastAsiaTheme="minorEastAsia"/>
                <w:color w:val="auto"/>
                <w:sz w:val="21"/>
                <w:szCs w:val="21"/>
                <w:highlight w:val="none"/>
                <w:lang w:eastAsia="zh-CN"/>
              </w:rPr>
              <w:t>峪升级改造工程（细河段）、南芬区乡道郭长线矿区段改造工程、南芬徐家堡子铁矿外部联络</w:t>
            </w:r>
            <w:r>
              <w:rPr>
                <w:rFonts w:hint="eastAsia" w:asciiTheme="minorEastAsia" w:hAnsiTheme="minorEastAsia" w:eastAsiaTheme="minorEastAsia"/>
                <w:color w:val="auto"/>
                <w:sz w:val="21"/>
                <w:szCs w:val="21"/>
                <w:highlight w:val="none"/>
              </w:rPr>
              <w:t>道路建设工程、南南线南沟村</w:t>
            </w:r>
            <w:r>
              <w:rPr>
                <w:rFonts w:asciiTheme="minorEastAsia" w:hAnsiTheme="minorEastAsia" w:eastAsiaTheme="minorEastAsia"/>
                <w:color w:val="auto"/>
                <w:sz w:val="21"/>
                <w:szCs w:val="21"/>
                <w:highlight w:val="none"/>
              </w:rPr>
              <w:t>3组至南打牛沟升级改造工程、施虎线施家村虎沟至本溪县草河城隧道及引线建设工程、思山岭三道河至财神庙绿色矿山产业大道项目、铁山客运中转站、</w:t>
            </w:r>
            <w:r>
              <w:rPr>
                <w:rFonts w:hint="eastAsia" w:asciiTheme="minorEastAsia" w:hAnsiTheme="minorEastAsia" w:eastAsiaTheme="minorEastAsia"/>
                <w:color w:val="auto"/>
                <w:sz w:val="21"/>
                <w:szCs w:val="21"/>
                <w:highlight w:val="none"/>
              </w:rPr>
              <w:t>南芬城区交通枢纽站建设项目、南芬乡道施小线双岔头至头道沟段升级改造工程</w:t>
            </w:r>
            <w:r>
              <w:rPr>
                <w:rFonts w:hint="eastAsia" w:asciiTheme="minorEastAsia" w:hAnsiTheme="minorEastAsia" w:eastAsiaTheme="minorEastAsia"/>
                <w:color w:val="auto"/>
                <w:sz w:val="21"/>
                <w:szCs w:val="21"/>
                <w:highlight w:val="none"/>
                <w:lang w:eastAsia="zh-CN"/>
              </w:rPr>
              <w:t>。</w:t>
            </w:r>
          </w:p>
          <w:p w14:paraId="4FB8AD69">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生活基础设施：本溪市</w:t>
            </w:r>
            <w:r>
              <w:rPr>
                <w:rFonts w:asciiTheme="minorEastAsia" w:hAnsiTheme="minorEastAsia" w:eastAsiaTheme="minorEastAsia"/>
                <w:color w:val="auto"/>
                <w:sz w:val="21"/>
                <w:szCs w:val="21"/>
                <w:highlight w:val="none"/>
              </w:rPr>
              <w:t>2022年老旧小区改造南芬区街里小区等燃气设施更新改造工程、</w:t>
            </w:r>
            <w:r>
              <w:rPr>
                <w:rFonts w:hint="eastAsia" w:asciiTheme="minorEastAsia" w:hAnsiTheme="minorEastAsia" w:eastAsiaTheme="minorEastAsia"/>
                <w:color w:val="auto"/>
                <w:sz w:val="21"/>
                <w:szCs w:val="21"/>
                <w:highlight w:val="none"/>
              </w:rPr>
              <w:t>南芬区教育集团义务教育配套设施改造工程</w:t>
            </w:r>
            <w:r>
              <w:rPr>
                <w:rFonts w:hint="eastAsia" w:asciiTheme="minorEastAsia" w:hAnsiTheme="minorEastAsia" w:eastAsiaTheme="minorEastAsia"/>
                <w:color w:val="auto"/>
                <w:sz w:val="21"/>
                <w:szCs w:val="21"/>
                <w:highlight w:val="none"/>
                <w:lang w:eastAsia="zh-CN"/>
              </w:rPr>
              <w:t>、</w:t>
            </w:r>
            <w:r>
              <w:rPr>
                <w:rFonts w:asciiTheme="minorEastAsia" w:hAnsiTheme="minorEastAsia" w:eastAsiaTheme="minorEastAsia"/>
                <w:color w:val="auto"/>
                <w:sz w:val="21"/>
                <w:szCs w:val="21"/>
                <w:highlight w:val="none"/>
              </w:rPr>
              <w:t>2021年“一事一议”工程、2022年“一事一议”项目、本溪市南芬区2022年城市燃气等设施老化更新改造工程、本溪市南芬区生活垃圾收运系统建设项目、东沟门地区避险安置广场及环境提升工程、南芬区下马塘避险安置小区</w:t>
            </w:r>
            <w:r>
              <w:rPr>
                <w:rFonts w:hint="eastAsia" w:asciiTheme="minorEastAsia" w:hAnsiTheme="minorEastAsia" w:eastAsiaTheme="minorEastAsia"/>
                <w:color w:val="auto"/>
                <w:sz w:val="21"/>
                <w:szCs w:val="21"/>
                <w:highlight w:val="none"/>
              </w:rPr>
              <w:t>一期</w:t>
            </w:r>
            <w:r>
              <w:rPr>
                <w:rFonts w:asciiTheme="minorEastAsia" w:hAnsiTheme="minorEastAsia" w:eastAsiaTheme="minorEastAsia"/>
                <w:color w:val="auto"/>
                <w:sz w:val="21"/>
                <w:szCs w:val="21"/>
                <w:highlight w:val="none"/>
              </w:rPr>
              <w:t>集</w:t>
            </w:r>
            <w:r>
              <w:rPr>
                <w:rFonts w:hint="eastAsia" w:asciiTheme="minorEastAsia" w:hAnsiTheme="minorEastAsia" w:eastAsiaTheme="minorEastAsia"/>
                <w:color w:val="auto"/>
                <w:sz w:val="21"/>
                <w:szCs w:val="21"/>
                <w:highlight w:val="none"/>
              </w:rPr>
              <w:t>中供热改造项目、南芬区铁山住宅区环境综合整治工程、2021老旧</w:t>
            </w:r>
            <w:r>
              <w:rPr>
                <w:rFonts w:asciiTheme="minorEastAsia" w:hAnsiTheme="minorEastAsia" w:eastAsiaTheme="minorEastAsia"/>
                <w:color w:val="auto"/>
                <w:sz w:val="21"/>
                <w:szCs w:val="21"/>
                <w:highlight w:val="none"/>
              </w:rPr>
              <w:t>小区改造南芬区配套基础设施改造工程</w:t>
            </w:r>
            <w:r>
              <w:rPr>
                <w:rFonts w:hint="eastAsia" w:asciiTheme="minorEastAsia" w:hAnsiTheme="minorEastAsia" w:eastAsiaTheme="minorEastAsia"/>
                <w:color w:val="auto"/>
                <w:sz w:val="21"/>
                <w:szCs w:val="21"/>
                <w:highlight w:val="none"/>
                <w:lang w:eastAsia="zh-CN"/>
              </w:rPr>
              <w:t>、2020年老旧小区改造南芬区街里小区配套基础设施建设项目、本溪市南芬区综合医院建设工程、南芬区民族文化广场暨避险广场建设项目、南芬露天铁矿独立工矿区健身运动中心改造提升项目、本溪市南芬区养老院消防安全改造提升项目</w:t>
            </w:r>
            <w:r>
              <w:rPr>
                <w:rFonts w:asciiTheme="minorEastAsia" w:hAnsiTheme="minorEastAsia" w:eastAsiaTheme="minorEastAsia"/>
                <w:color w:val="auto"/>
                <w:sz w:val="21"/>
                <w:szCs w:val="21"/>
                <w:highlight w:val="none"/>
              </w:rPr>
              <w:t>。</w:t>
            </w:r>
          </w:p>
          <w:p w14:paraId="0AE6B034">
            <w:pPr>
              <w:ind w:firstLine="42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水利基础设施：</w:t>
            </w:r>
            <w:r>
              <w:rPr>
                <w:rFonts w:hint="eastAsia" w:asciiTheme="minorEastAsia" w:hAnsiTheme="minorEastAsia" w:eastAsiaTheme="minorEastAsia"/>
                <w:color w:val="auto"/>
                <w:sz w:val="21"/>
                <w:szCs w:val="21"/>
                <w:highlight w:val="none"/>
              </w:rPr>
              <w:t>本溪市南芬区下马塘大石河流域水环境综合治理项目、南芬区排水防涝治理工程、三道河（桦树甸子—南台沟段）治理工程、细河钓鱼台村段防洪治理工程、徐家河山洪沟治理工程、南芬区城区防洪沟综合整治项目、永安河二期改河工程涉永安河。</w:t>
            </w:r>
          </w:p>
          <w:p w14:paraId="1096E76B">
            <w:pPr>
              <w:ind w:firstLine="420"/>
              <w:rPr>
                <w:color w:val="auto"/>
                <w:highlight w:val="none"/>
              </w:rPr>
            </w:pPr>
            <w:r>
              <w:rPr>
                <w:rFonts w:hint="eastAsia" w:asciiTheme="minorEastAsia" w:hAnsiTheme="minorEastAsia" w:eastAsiaTheme="minorEastAsia"/>
                <w:color w:val="auto"/>
                <w:sz w:val="21"/>
                <w:szCs w:val="21"/>
                <w:highlight w:val="none"/>
              </w:rPr>
              <w:t>生产基础设施：本溪南芬经济开发区新建标准化厂房项目一期工程、南芬区思山岭街道污水处理厂及配套管网项目、</w:t>
            </w:r>
            <w:r>
              <w:rPr>
                <w:rFonts w:hint="eastAsia" w:asciiTheme="minorEastAsia" w:hAnsiTheme="minorEastAsia" w:eastAsiaTheme="minorEastAsia"/>
                <w:color w:val="auto"/>
                <w:sz w:val="21"/>
                <w:szCs w:val="21"/>
                <w:highlight w:val="none"/>
                <w:lang w:val="en-US" w:eastAsia="zh-CN"/>
              </w:rPr>
              <w:t>本溪市南芬区纪律检查委员会技术用房建设工程</w:t>
            </w:r>
            <w:r>
              <w:rPr>
                <w:rFonts w:hint="eastAsia" w:asciiTheme="minorEastAsia" w:hAnsiTheme="minorEastAsia" w:eastAsiaTheme="minorEastAsia"/>
                <w:color w:val="auto"/>
                <w:sz w:val="21"/>
                <w:szCs w:val="21"/>
                <w:highlight w:val="none"/>
              </w:rPr>
              <w:t>、经济开发区</w:t>
            </w:r>
            <w:r>
              <w:rPr>
                <w:rFonts w:asciiTheme="minorEastAsia" w:hAnsiTheme="minorEastAsia" w:eastAsiaTheme="minorEastAsia"/>
                <w:color w:val="auto"/>
                <w:sz w:val="21"/>
                <w:szCs w:val="21"/>
                <w:highlight w:val="none"/>
              </w:rPr>
              <w:t>220KV输变电项目、龙新矿业标准化厂房项目、南芬经济开发区“飞地经济”园区标准化厂房及配套附属设施项目、南芬经济开发区基础设施配套一期工程项目、南芬经济开发区天然气工程建设项目、南芬经济开发区污水处理系统提升改造工程、铁山路消防救援站室内训练馆</w:t>
            </w:r>
            <w:r>
              <w:rPr>
                <w:rFonts w:hint="eastAsia" w:asciiTheme="minorEastAsia" w:hAnsiTheme="minorEastAsia" w:eastAsiaTheme="minorEastAsia"/>
                <w:color w:val="auto"/>
                <w:sz w:val="21"/>
                <w:szCs w:val="21"/>
                <w:highlight w:val="none"/>
                <w:lang w:eastAsia="zh-CN"/>
              </w:rPr>
              <w:t>、本溪南芬经济开发区标准化厂房新建项目二期及基础设施配套工程</w:t>
            </w:r>
            <w:r>
              <w:rPr>
                <w:rFonts w:asciiTheme="minorEastAsia" w:hAnsiTheme="minorEastAsia" w:eastAsiaTheme="minorEastAsia"/>
                <w:color w:val="auto"/>
                <w:sz w:val="21"/>
                <w:szCs w:val="21"/>
                <w:highlight w:val="none"/>
              </w:rPr>
              <w:t>。</w:t>
            </w:r>
          </w:p>
        </w:tc>
      </w:tr>
    </w:tbl>
    <w:p w14:paraId="25D07391">
      <w:pPr>
        <w:pStyle w:val="4"/>
        <w:ind w:firstLine="643"/>
        <w:rPr>
          <w:color w:val="auto"/>
          <w:highlight w:val="none"/>
        </w:rPr>
      </w:pPr>
      <w:bookmarkStart w:id="35" w:name="_Toc143701980"/>
      <w:r>
        <w:rPr>
          <w:color w:val="auto"/>
          <w:highlight w:val="none"/>
        </w:rPr>
        <w:t>第</w:t>
      </w:r>
      <w:r>
        <w:rPr>
          <w:rFonts w:hint="eastAsia"/>
          <w:color w:val="auto"/>
          <w:highlight w:val="none"/>
        </w:rPr>
        <w:t>三</w:t>
      </w:r>
      <w:r>
        <w:rPr>
          <w:color w:val="auto"/>
          <w:highlight w:val="none"/>
        </w:rPr>
        <w:t>节</w:t>
      </w:r>
      <w:r>
        <w:rPr>
          <w:rFonts w:hint="eastAsia"/>
          <w:color w:val="auto"/>
          <w:highlight w:val="none"/>
        </w:rPr>
        <w:t xml:space="preserve"> 实施独立工矿区改造提升工程</w:t>
      </w:r>
      <w:bookmarkEnd w:id="35"/>
    </w:p>
    <w:p w14:paraId="7004635D">
      <w:pPr>
        <w:widowControl w:val="0"/>
        <w:spacing w:line="560" w:lineRule="exact"/>
        <w:ind w:firstLine="560"/>
        <w:jc w:val="both"/>
        <w:rPr>
          <w:rFonts w:ascii="Times New Roman" w:hAnsi="Times New Roman" w:eastAsia="仿宋_GB2312" w:cs="Times New Roman"/>
          <w:color w:val="auto"/>
          <w:szCs w:val="28"/>
          <w:highlight w:val="none"/>
        </w:rPr>
      </w:pPr>
      <w:r>
        <w:rPr>
          <w:rFonts w:ascii="Times New Roman" w:hAnsi="Times New Roman" w:eastAsia="仿宋_GB2312" w:cs="Times New Roman"/>
          <w:color w:val="auto"/>
          <w:szCs w:val="28"/>
          <w:highlight w:val="none"/>
        </w:rPr>
        <w:t>坚持以改善居民民生为中心，以提高矿区居民基本生产和生活条件为首要任务，以完善基础设施和公共服务设施为支撑，以培育发展接续替代产业和促进就业为重点，立足南芬区自身经济社会发展基础和财力状况，量力而行、滚动推进。做好独立工矿区改造提升工程实施方案与转型发展行动计划的有效衔接。深入落实居民避险安置工程、基础设施和公共服务设施提升工程、生态环境和环境整治工程、接续替代产业平台建设四大重点任务。以独立工矿区转型发展推动全区经济转型升级，解决发展不均衡不充分的瓶颈问题，从而满足独立工矿区居民的美好生活需求，提升居民获得感、幸福感、安全感。</w:t>
      </w:r>
    </w:p>
    <w:p w14:paraId="740F1F45">
      <w:pPr>
        <w:widowControl w:val="0"/>
        <w:spacing w:line="560" w:lineRule="exact"/>
        <w:ind w:firstLine="560"/>
        <w:jc w:val="both"/>
        <w:rPr>
          <w:rFonts w:ascii="Times New Roman" w:hAnsi="Times New Roman" w:eastAsia="仿宋_GB2312" w:cs="Times New Roman"/>
          <w:color w:val="auto"/>
          <w:szCs w:val="28"/>
          <w:highlight w:val="none"/>
        </w:rPr>
      </w:pPr>
      <w:r>
        <w:rPr>
          <w:rFonts w:ascii="Times New Roman" w:hAnsi="Times New Roman" w:eastAsia="仿宋_GB2312" w:cs="Times New Roman"/>
          <w:color w:val="auto"/>
          <w:szCs w:val="28"/>
          <w:highlight w:val="none"/>
        </w:rPr>
        <w:t>首要解决南芬区露天铁矿独立工矿区居民避险安置工程，提高矿区居民基本生活保障能力。持续跟踪推进独立工矿区基础设施、公共服务设施提升工程，改善优化居民生产和生活条件。遵循本溪市全生态发展理念，加快生态环境整治，推动生态优势转化为经济优势、发展优势、产业优势和民生优势。重点推进南芬铸造业、文旅产业等接续替代产业平台的建设，优化营商环境，调动社会各方面积极性与主动性，提高投资效益和拉动作用，加快推动矿区产业结构升级，培育新动能，解决矿区居民的就业问题。</w:t>
      </w:r>
    </w:p>
    <w:p w14:paraId="32A7503D">
      <w:pPr>
        <w:ind w:firstLine="560"/>
        <w:rPr>
          <w:rFonts w:ascii="仿宋" w:hAnsi="仿宋" w:cs="仿宋"/>
          <w:color w:val="auto"/>
          <w:szCs w:val="28"/>
          <w:highlight w:val="none"/>
        </w:rPr>
      </w:pPr>
      <w:r>
        <w:rPr>
          <w:rFonts w:hint="eastAsia" w:ascii="仿宋" w:hAnsi="仿宋" w:cs="仿宋"/>
          <w:color w:val="auto"/>
          <w:szCs w:val="28"/>
          <w:highlight w:val="none"/>
        </w:rPr>
        <w:t>1.优化提升公共服务资源供给</w:t>
      </w:r>
    </w:p>
    <w:p w14:paraId="0FF0716F">
      <w:pPr>
        <w:widowControl w:val="0"/>
        <w:spacing w:line="560" w:lineRule="exact"/>
        <w:ind w:firstLine="560"/>
        <w:jc w:val="both"/>
        <w:rPr>
          <w:color w:val="auto"/>
          <w:highlight w:val="none"/>
        </w:rPr>
      </w:pPr>
      <w:r>
        <w:rPr>
          <w:rFonts w:hint="eastAsia"/>
          <w:color w:val="auto"/>
          <w:highlight w:val="none"/>
        </w:rPr>
        <w:t>依托独立工矿区改造搬迁工程政策红利，全力消减历史遗留问题对南芬区经济社会发展的制约，进一步提升公共服务能力，完成职工文体活动中心项目建设。</w:t>
      </w:r>
      <w:r>
        <w:rPr>
          <w:rFonts w:ascii="Times New Roman" w:hAnsi="Times New Roman" w:eastAsia="仿宋_GB2312" w:cs="Times New Roman"/>
          <w:color w:val="auto"/>
          <w:szCs w:val="28"/>
          <w:highlight w:val="none"/>
        </w:rPr>
        <w:t>改善教育条件，合理布局、加快完善义务教育和学前教育设施，稳步提升教育设施水平，加强校舍配套设施改造力度，优化师资配备、提高办学能力，妥善解决生源流失和教育服务能力差等各方面问题。提升医疗水平，加快整合矿区医疗资源，并购</w:t>
      </w:r>
      <w:r>
        <w:rPr>
          <w:rFonts w:hint="eastAsia" w:ascii="Times New Roman" w:hAnsi="Times New Roman" w:eastAsia="仿宋_GB2312" w:cs="Times New Roman"/>
          <w:color w:val="auto"/>
          <w:szCs w:val="28"/>
          <w:highlight w:val="none"/>
        </w:rPr>
        <w:t>辽健集团</w:t>
      </w:r>
      <w:r>
        <w:rPr>
          <w:rFonts w:ascii="Times New Roman" w:hAnsi="Times New Roman" w:eastAsia="仿宋_GB2312" w:cs="Times New Roman"/>
          <w:color w:val="auto"/>
          <w:szCs w:val="28"/>
          <w:highlight w:val="none"/>
        </w:rPr>
        <w:t>本钢南</w:t>
      </w:r>
      <w:r>
        <w:rPr>
          <w:rFonts w:hint="eastAsia" w:ascii="Times New Roman" w:hAnsi="Times New Roman" w:eastAsia="仿宋_GB2312" w:cs="Times New Roman"/>
          <w:color w:val="auto"/>
          <w:szCs w:val="28"/>
          <w:highlight w:val="none"/>
        </w:rPr>
        <w:t>山</w:t>
      </w:r>
      <w:r>
        <w:rPr>
          <w:rFonts w:ascii="Times New Roman" w:hAnsi="Times New Roman" w:eastAsia="仿宋_GB2312" w:cs="Times New Roman"/>
          <w:color w:val="auto"/>
          <w:szCs w:val="28"/>
          <w:highlight w:val="none"/>
        </w:rPr>
        <w:t>医院，建设</w:t>
      </w:r>
      <w:r>
        <w:rPr>
          <w:rFonts w:hint="eastAsia" w:ascii="Times New Roman" w:hAnsi="Times New Roman" w:eastAsia="仿宋_GB2312" w:cs="Times New Roman"/>
          <w:color w:val="auto"/>
          <w:szCs w:val="28"/>
          <w:highlight w:val="none"/>
        </w:rPr>
        <w:t>南区区</w:t>
      </w:r>
      <w:r>
        <w:rPr>
          <w:rFonts w:ascii="Times New Roman" w:hAnsi="Times New Roman" w:eastAsia="仿宋_GB2312" w:cs="Times New Roman"/>
          <w:color w:val="auto"/>
          <w:szCs w:val="28"/>
          <w:highlight w:val="none"/>
        </w:rPr>
        <w:t>综合医院，改善医疗卫生服务条件，增强医院综合服务能力，加强矿工职业病防治，提高专业机构职业病诊疗水平</w:t>
      </w:r>
      <w:r>
        <w:rPr>
          <w:rFonts w:ascii="Times New Roman" w:hAnsi="Times New Roman" w:eastAsia="仿宋_GB2312" w:cs="Times New Roman"/>
          <w:color w:val="auto"/>
          <w:sz w:val="32"/>
          <w:szCs w:val="32"/>
          <w:highlight w:val="none"/>
        </w:rPr>
        <w:t>。</w:t>
      </w:r>
      <w:r>
        <w:rPr>
          <w:rFonts w:hint="eastAsia"/>
          <w:color w:val="auto"/>
          <w:highlight w:val="none"/>
        </w:rPr>
        <w:t>打造主城区形成区域性金融、商贸、生活服务业中心体。提升南芬独立工矿区城市品位，为南芬区全面、持续、健康地发展提供优良的外部性支撑。</w:t>
      </w:r>
    </w:p>
    <w:p w14:paraId="4C434EC2">
      <w:pPr>
        <w:ind w:firstLine="560"/>
        <w:rPr>
          <w:color w:val="auto"/>
          <w:highlight w:val="none"/>
        </w:rPr>
      </w:pPr>
      <w:r>
        <w:rPr>
          <w:rFonts w:hint="eastAsia"/>
          <w:color w:val="auto"/>
          <w:highlight w:val="none"/>
        </w:rPr>
        <w:t>2.强化独立工矿区基础服务设施</w:t>
      </w:r>
    </w:p>
    <w:p w14:paraId="6BA77D33">
      <w:pPr>
        <w:ind w:firstLine="560"/>
        <w:rPr>
          <w:color w:val="auto"/>
          <w:highlight w:val="none"/>
        </w:rPr>
      </w:pPr>
      <w:r>
        <w:rPr>
          <w:rFonts w:hint="eastAsia"/>
          <w:color w:val="auto"/>
          <w:highlight w:val="none"/>
        </w:rPr>
        <w:t>进一步完善市政设施建设，提升基础设施水平，</w:t>
      </w:r>
      <w:r>
        <w:rPr>
          <w:rFonts w:ascii="Times New Roman" w:hAnsi="Times New Roman" w:eastAsia="仿宋_GB2312" w:cs="Times New Roman"/>
          <w:color w:val="auto"/>
          <w:szCs w:val="28"/>
          <w:highlight w:val="none"/>
        </w:rPr>
        <w:t>着力改造存在安全隐患路段及梗阻、断头、低标准路段，保障人民群众安全便利出行。</w:t>
      </w:r>
      <w:r>
        <w:rPr>
          <w:rFonts w:hint="eastAsia"/>
          <w:color w:val="auto"/>
          <w:highlight w:val="none"/>
        </w:rPr>
        <w:t>高效推进南芬区污水管网项目、下马塘集中供热改造、南芬区农村公路综合整治工程、高南线建设工程等项目建设，加快产城融合，实现产业转型与城镇建设的良性互动。</w:t>
      </w:r>
    </w:p>
    <w:p w14:paraId="35EFC7F5">
      <w:pPr>
        <w:ind w:firstLine="560"/>
        <w:rPr>
          <w:color w:val="auto"/>
          <w:highlight w:val="none"/>
        </w:rPr>
      </w:pPr>
      <w:r>
        <w:rPr>
          <w:color w:val="auto"/>
          <w:highlight w:val="none"/>
        </w:rPr>
        <w:t>3.继续做好</w:t>
      </w:r>
      <w:r>
        <w:rPr>
          <w:rFonts w:hint="eastAsia"/>
          <w:color w:val="auto"/>
          <w:highlight w:val="none"/>
        </w:rPr>
        <w:t>接续替代产业平台建设</w:t>
      </w:r>
    </w:p>
    <w:p w14:paraId="5CB63D61">
      <w:pPr>
        <w:ind w:firstLine="560"/>
        <w:rPr>
          <w:rFonts w:ascii="仿宋" w:hAnsi="仿宋" w:cs="仿宋"/>
          <w:color w:val="auto"/>
          <w:szCs w:val="28"/>
          <w:highlight w:val="none"/>
        </w:rPr>
      </w:pPr>
      <w:r>
        <w:rPr>
          <w:rFonts w:hint="eastAsia"/>
          <w:color w:val="auto"/>
          <w:highlight w:val="none"/>
        </w:rPr>
        <w:t>按照“一体两翼”布局，着重在“两翼”建设接续替代产业平台，结合文旅兴区战略，着重完善服务思山岭地区旅游基础设施，实施重点村村域整治，推进建设南南线、S206本宽线等道路工程；在下马塘地区，依托经济开发区产业优势，完成开发区基础设施配套一期工程建设，进一步完成区域基础设施，最终实现两翼齐飞，带动经济发展，从而全面实现独立工矿区各项提升。</w:t>
      </w:r>
      <w:r>
        <w:rPr>
          <w:rFonts w:hint="eastAsia" w:ascii="仿宋" w:hAnsi="仿宋" w:cs="仿宋"/>
          <w:color w:val="auto"/>
          <w:szCs w:val="28"/>
          <w:highlight w:val="none"/>
        </w:rPr>
        <w:t>园区承载力持续提高，已成为承接南芬露天铁矿独立工矿区接续替代产业和转型发展的“主阵地”。开发区围绕传统优势产业延链、补链、强链，形成了以铸造采选、固废利用为主导，其他产业配套互补的工业发展格局，产业转型步伐显著加快。</w:t>
      </w:r>
    </w:p>
    <w:p w14:paraId="75AF7C3C">
      <w:pPr>
        <w:ind w:firstLine="560"/>
        <w:rPr>
          <w:color w:val="auto"/>
          <w:highlight w:val="none"/>
        </w:rPr>
      </w:pPr>
      <w:r>
        <w:rPr>
          <w:rFonts w:hint="eastAsia"/>
          <w:color w:val="auto"/>
          <w:highlight w:val="none"/>
        </w:rPr>
        <w:t>4.巩固避险安置成果</w:t>
      </w:r>
    </w:p>
    <w:p w14:paraId="2A3276B4">
      <w:pPr>
        <w:ind w:firstLine="560"/>
        <w:rPr>
          <w:color w:val="auto"/>
          <w:highlight w:val="none"/>
        </w:rPr>
      </w:pPr>
      <w:r>
        <w:rPr>
          <w:rFonts w:ascii="Times New Roman" w:hAnsi="Times New Roman" w:eastAsia="仿宋_GB2312" w:cs="Times New Roman"/>
          <w:color w:val="auto"/>
          <w:szCs w:val="28"/>
          <w:highlight w:val="none"/>
        </w:rPr>
        <w:t>在现有安置成果基础上，结合新型城镇化建设和乡村振兴发展战略，因地制宜推进独立工矿区避险安置工程。</w:t>
      </w:r>
      <w:r>
        <w:rPr>
          <w:rFonts w:hint="eastAsia"/>
          <w:color w:val="auto"/>
          <w:highlight w:val="none"/>
        </w:rPr>
        <w:t>进一步加强避险工程建设，合理规划落实避险安置工程以及避险安置小区的配套工程，科学评估独立工矿区安全隐患程度，重点推进露天矿周边城中村避险安置、东沟门避险安置广场及环境提升工程、郭家地区露天矿家属区升级改造工程、南芬区下马塘避险安置小区一期集中供热改造等项目建设，彻底解决南芬露天矿独立工矿区居民避险安置问题，保证居民的生命财产安全。</w:t>
      </w:r>
    </w:p>
    <w:p w14:paraId="36528317">
      <w:pPr>
        <w:pStyle w:val="4"/>
        <w:ind w:firstLine="643"/>
        <w:rPr>
          <w:color w:val="auto"/>
          <w:highlight w:val="none"/>
        </w:rPr>
      </w:pPr>
      <w:bookmarkStart w:id="36" w:name="_Toc143701981"/>
      <w:r>
        <w:rPr>
          <w:color w:val="auto"/>
          <w:highlight w:val="none"/>
        </w:rPr>
        <w:t>第</w:t>
      </w:r>
      <w:r>
        <w:rPr>
          <w:rFonts w:hint="eastAsia"/>
          <w:color w:val="auto"/>
          <w:highlight w:val="none"/>
        </w:rPr>
        <w:t>四</w:t>
      </w:r>
      <w:r>
        <w:rPr>
          <w:color w:val="auto"/>
          <w:highlight w:val="none"/>
        </w:rPr>
        <w:t>节</w:t>
      </w:r>
      <w:r>
        <w:rPr>
          <w:rFonts w:hint="eastAsia"/>
          <w:color w:val="auto"/>
          <w:highlight w:val="none"/>
        </w:rPr>
        <w:t xml:space="preserve"> 进一步实施乡村振兴发展战略</w:t>
      </w:r>
      <w:bookmarkEnd w:id="36"/>
    </w:p>
    <w:p w14:paraId="39DB0B8F">
      <w:pPr>
        <w:ind w:firstLine="560"/>
        <w:rPr>
          <w:color w:val="auto"/>
          <w:highlight w:val="none"/>
        </w:rPr>
      </w:pPr>
      <w:r>
        <w:rPr>
          <w:rFonts w:hint="eastAsia"/>
          <w:color w:val="auto"/>
          <w:highlight w:val="none"/>
        </w:rPr>
        <w:t>1.优化农业产业结构，培育乡村新产业新业态</w:t>
      </w:r>
    </w:p>
    <w:p w14:paraId="51435031">
      <w:pPr>
        <w:ind w:firstLine="560"/>
        <w:rPr>
          <w:color w:val="auto"/>
          <w:highlight w:val="none"/>
        </w:rPr>
      </w:pPr>
      <w:r>
        <w:rPr>
          <w:rFonts w:hint="eastAsia"/>
          <w:color w:val="auto"/>
          <w:highlight w:val="none"/>
        </w:rPr>
        <w:t>实施新一轮粮食产能提升行动，持续推广种植业保险政策，落实农机购置和农资补贴政策，稳步提高粮食综合生产能力。实行耕地保护网格化监管制度，坚决遏制耕地“非农化”、防止“非粮化”。到</w:t>
      </w:r>
      <w:r>
        <w:rPr>
          <w:color w:val="auto"/>
          <w:highlight w:val="none"/>
        </w:rPr>
        <w:t>2025年，确保南芬区粮食播种面积达到4.16万亩，粮食产量稳定在3.6万吨以上。</w:t>
      </w:r>
    </w:p>
    <w:p w14:paraId="62FE23EA">
      <w:pPr>
        <w:ind w:firstLine="560"/>
        <w:rPr>
          <w:color w:val="auto"/>
          <w:highlight w:val="none"/>
        </w:rPr>
      </w:pPr>
      <w:r>
        <w:rPr>
          <w:rFonts w:hint="eastAsia" w:ascii="仿宋" w:hAnsi="仿宋" w:cs="仿宋"/>
          <w:color w:val="auto"/>
          <w:szCs w:val="28"/>
          <w:highlight w:val="none"/>
        </w:rPr>
        <w:t>深化农业供给侧结构性改革，推进农业产业化经营，以</w:t>
      </w:r>
      <w:r>
        <w:rPr>
          <w:rFonts w:hint="eastAsia"/>
          <w:color w:val="auto"/>
          <w:highlight w:val="none"/>
        </w:rPr>
        <w:t>农业提质增效为重要抓手，深挖南芬区农业产业发展的潜力。重点扶持南芬区“</w:t>
      </w:r>
      <w:r>
        <w:rPr>
          <w:rFonts w:hint="eastAsia"/>
          <w:b/>
          <w:color w:val="auto"/>
          <w:highlight w:val="none"/>
        </w:rPr>
        <w:t>三大特色农业产业</w:t>
      </w:r>
      <w:r>
        <w:rPr>
          <w:rFonts w:hint="eastAsia"/>
          <w:color w:val="auto"/>
          <w:highlight w:val="none"/>
        </w:rPr>
        <w:t>”发展，即林下经济、生态种植业和特色养殖业。实施“万千百十”工程，实现林下经济</w:t>
      </w:r>
      <w:r>
        <w:rPr>
          <w:color w:val="auto"/>
          <w:highlight w:val="none"/>
        </w:rPr>
        <w:t>3万亩、生态种植业3千亩和特色养殖业300亩，30个规模家庭农场。</w:t>
      </w:r>
    </w:p>
    <w:p w14:paraId="3613D65C">
      <w:pPr>
        <w:ind w:firstLine="562"/>
        <w:rPr>
          <w:color w:val="auto"/>
          <w:highlight w:val="none"/>
        </w:rPr>
      </w:pPr>
      <w:r>
        <w:rPr>
          <w:rFonts w:hint="eastAsia"/>
          <w:b/>
          <w:bCs/>
          <w:color w:val="auto"/>
          <w:highlight w:val="none"/>
        </w:rPr>
        <w:t>做大做强林下经济项目。</w:t>
      </w:r>
      <w:r>
        <w:rPr>
          <w:rFonts w:hint="eastAsia"/>
          <w:color w:val="auto"/>
          <w:highlight w:val="none"/>
        </w:rPr>
        <w:t>利用南芬区丰富的森林资源，推广林下参项目工程，“十四五”期末，林下参保有量达1.2万亩。加快1.3万亩野生平榛子品质提升工程。发展林蛙、木耳、山野菜等林下经济作物，提升农业产业附加值，创新农业品牌+网络销售模式。</w:t>
      </w:r>
    </w:p>
    <w:p w14:paraId="17F95CBE">
      <w:pPr>
        <w:ind w:firstLine="562"/>
        <w:rPr>
          <w:color w:val="auto"/>
          <w:highlight w:val="none"/>
        </w:rPr>
      </w:pPr>
      <w:r>
        <w:rPr>
          <w:rFonts w:hint="eastAsia"/>
          <w:b/>
          <w:bCs/>
          <w:color w:val="auto"/>
          <w:highlight w:val="none"/>
        </w:rPr>
        <w:t>探索发展生态种植业。</w:t>
      </w:r>
      <w:r>
        <w:rPr>
          <w:rFonts w:hint="eastAsia"/>
          <w:color w:val="auto"/>
          <w:highlight w:val="none"/>
        </w:rPr>
        <w:t>充分发挥地理优势（近郊）、耕地分散的特点，发展家庭式生态种植产业链，调整种植结构，发展多个品种。鼓励有自然条件的农户种植大白杏、蓝莓，开展特色农业种植，提高经济种植产能。以家庭农场、农民专业合作社为主要生产模式，与全域旅游相结合，发展蔬菜、果品等生态种植产业1万亩，发展家庭农场50个。</w:t>
      </w:r>
    </w:p>
    <w:p w14:paraId="7AF95CB9">
      <w:pPr>
        <w:ind w:firstLine="562"/>
        <w:rPr>
          <w:color w:val="auto"/>
          <w:highlight w:val="none"/>
        </w:rPr>
      </w:pPr>
      <w:r>
        <w:rPr>
          <w:rFonts w:hint="eastAsia"/>
          <w:b/>
          <w:bCs/>
          <w:color w:val="auto"/>
          <w:highlight w:val="none"/>
        </w:rPr>
        <w:t>发展壮大特色养殖业。</w:t>
      </w:r>
      <w:r>
        <w:rPr>
          <w:rFonts w:hint="eastAsia"/>
          <w:color w:val="auto"/>
          <w:highlight w:val="none"/>
        </w:rPr>
        <w:t>鼓励农户发展家庭式庭院经济，实现农民收入提升、农民致富、解决农民相对贫困问题。打造冷水鱼产业基地，养殖品种以虹鳟、金鳟、鲟鱼和地方原产地品种为主，以思山岭街道杨木沟村为育种区，甬子峪和东沟村为养殖区，南沟为商业展示区和商业销售区，探索冷水鱼深加工产业。</w:t>
      </w:r>
    </w:p>
    <w:p w14:paraId="584E9C6E">
      <w:pPr>
        <w:ind w:firstLine="560"/>
        <w:rPr>
          <w:color w:val="auto"/>
          <w:highlight w:val="none"/>
        </w:rPr>
      </w:pPr>
      <w:r>
        <w:rPr>
          <w:rFonts w:hint="eastAsia"/>
          <w:color w:val="auto"/>
          <w:highlight w:val="none"/>
        </w:rPr>
        <w:t>畅通农产品进城和工业品下乡双向流通网络，实现农民增收与消费提质的良性循环，全面提高农业整体效益。发展新型农村集体经济和社会化服务，壮大家庭农场、农民合作社等新型经营主体规模，开展示范合作社、示范家庭农场创建。培育壮大农业产业化龙头企业，到</w:t>
      </w:r>
      <w:r>
        <w:rPr>
          <w:color w:val="auto"/>
          <w:highlight w:val="none"/>
        </w:rPr>
        <w:t>2025年，市级以上龙头企业数量达到4家。</w:t>
      </w:r>
    </w:p>
    <w:p w14:paraId="03AD2F05">
      <w:pPr>
        <w:ind w:firstLine="560"/>
        <w:rPr>
          <w:color w:val="auto"/>
          <w:highlight w:val="none"/>
        </w:rPr>
      </w:pPr>
      <w:r>
        <w:rPr>
          <w:rFonts w:hint="eastAsia"/>
          <w:color w:val="auto"/>
          <w:highlight w:val="none"/>
        </w:rPr>
        <w:t>2.深化农村改革，构建社会主义新农村</w:t>
      </w:r>
    </w:p>
    <w:p w14:paraId="06473CC7">
      <w:pPr>
        <w:ind w:firstLine="562"/>
        <w:rPr>
          <w:color w:val="auto"/>
          <w:highlight w:val="none"/>
        </w:rPr>
      </w:pPr>
      <w:r>
        <w:rPr>
          <w:rFonts w:hint="eastAsia"/>
          <w:b/>
          <w:color w:val="auto"/>
          <w:highlight w:val="none"/>
        </w:rPr>
        <w:t>深化农村改革</w:t>
      </w:r>
      <w:r>
        <w:rPr>
          <w:rFonts w:hint="eastAsia"/>
          <w:color w:val="auto"/>
          <w:highlight w:val="none"/>
        </w:rPr>
        <w:t>，壮大村集体经济，激活各类集体资源资产，发展新型农村集体经济和社会化服务，壮大家庭农场、农民合作社等新型经营主体规模，开展示范合作社、示范家庭农场创建。提高衔接推进乡村振兴补助资金用于产业发展的比重，大力实施现代化养殖和特殊种植项目。加大强农惠农政策支持力度，继续开展个人涉农创业担保贷款，实施乡村振兴创业补贴政策，鼓励返乡入乡创业，拓展农村劳动力就地就业渠道，农村居民收入稳步提升。到</w:t>
      </w:r>
      <w:r>
        <w:rPr>
          <w:color w:val="auto"/>
          <w:highlight w:val="none"/>
        </w:rPr>
        <w:t>2025年，村集体经济年收入5万元以上的村实现全覆盖，年收入10万元以上的村达到80%。</w:t>
      </w:r>
    </w:p>
    <w:p w14:paraId="23DCED57">
      <w:pPr>
        <w:ind w:firstLine="562"/>
        <w:rPr>
          <w:color w:val="auto"/>
          <w:highlight w:val="none"/>
        </w:rPr>
      </w:pPr>
      <w:r>
        <w:rPr>
          <w:rFonts w:hint="eastAsia"/>
          <w:b/>
          <w:color w:val="auto"/>
          <w:highlight w:val="none"/>
        </w:rPr>
        <w:t>推动乡村法治</w:t>
      </w:r>
      <w:r>
        <w:rPr>
          <w:rFonts w:hint="eastAsia"/>
          <w:color w:val="auto"/>
          <w:highlight w:val="none"/>
        </w:rPr>
        <w:t>。贯彻落实《村民委员会组织法》等有关法律，依法发挥村民委员会在办理本村公共事务和公益事业、调解民间纠纷、维护社会治安等方面的作用，加大宣传和普及工作力度，确保村民自治的法律保障和权限。建立和完善农村组织体系。建立和完善村“两委”协调机制，严格执行“四议一审两公开”等基层民主自治制度，强化村务监督委员会监督职能，使农村基层自治组织的民主选举、民主决策、民主管理、民主监督等制度更加健全。统筹加强村级组织配套建设，坚持以村党组织为核心、村民自治和村务监督组织为基础、集体经济组织和农民合作组织为纽带、各种经济社会服务组织为补充，充分发挥各类组织在乡村振兴中积极作用。</w:t>
      </w:r>
    </w:p>
    <w:p w14:paraId="0B8B7908">
      <w:pPr>
        <w:ind w:firstLine="560"/>
        <w:rPr>
          <w:color w:val="auto"/>
          <w:highlight w:val="none"/>
        </w:rPr>
      </w:pPr>
      <w:r>
        <w:rPr>
          <w:color w:val="auto"/>
          <w:highlight w:val="none"/>
        </w:rPr>
        <w:t>3.</w:t>
      </w:r>
      <w:r>
        <w:rPr>
          <w:rFonts w:hint="eastAsia"/>
          <w:color w:val="auto"/>
          <w:highlight w:val="none"/>
        </w:rPr>
        <w:t>以科技创新为引领，培养现代农民</w:t>
      </w:r>
    </w:p>
    <w:p w14:paraId="5722F0FD">
      <w:pPr>
        <w:ind w:firstLine="562"/>
        <w:rPr>
          <w:color w:val="auto"/>
          <w:highlight w:val="none"/>
        </w:rPr>
      </w:pPr>
      <w:r>
        <w:rPr>
          <w:rFonts w:hint="eastAsia"/>
          <w:b/>
          <w:color w:val="auto"/>
          <w:highlight w:val="none"/>
        </w:rPr>
        <w:t>实施农业经营主体带头人轮训计划。</w:t>
      </w:r>
      <w:r>
        <w:rPr>
          <w:rFonts w:hint="eastAsia"/>
          <w:color w:val="auto"/>
          <w:highlight w:val="none"/>
        </w:rPr>
        <w:t>以专业大户、家庭农场经营者、农民合作社带头人、农业重点企业负责人和农业社会化服务组织负责人等为培训对象，重点培训提高综合素质和职业能力。</w:t>
      </w:r>
    </w:p>
    <w:p w14:paraId="14043511">
      <w:pPr>
        <w:ind w:firstLine="562"/>
        <w:rPr>
          <w:color w:val="auto"/>
          <w:highlight w:val="none"/>
        </w:rPr>
      </w:pPr>
      <w:r>
        <w:rPr>
          <w:rFonts w:hint="eastAsia"/>
          <w:b/>
          <w:color w:val="auto"/>
          <w:highlight w:val="none"/>
        </w:rPr>
        <w:t>实施现代青年农场主培养计划。</w:t>
      </w:r>
      <w:r>
        <w:rPr>
          <w:rFonts w:hint="eastAsia"/>
          <w:color w:val="auto"/>
          <w:highlight w:val="none"/>
        </w:rPr>
        <w:t>以中等教育及以上学历的返乡下乡创业青年、中高等院校毕业生、退役士兵以及农村务农青年为对象，加强培训指导、创业孵化、认定管理、政策扶持，吸引年轻人务农创业，提高创业兴业能力。</w:t>
      </w:r>
    </w:p>
    <w:p w14:paraId="7C1814D0">
      <w:pPr>
        <w:ind w:firstLine="562"/>
        <w:rPr>
          <w:color w:val="auto"/>
          <w:highlight w:val="none"/>
        </w:rPr>
      </w:pPr>
      <w:r>
        <w:rPr>
          <w:rFonts w:hint="eastAsia"/>
          <w:b/>
          <w:color w:val="auto"/>
          <w:highlight w:val="none"/>
        </w:rPr>
        <w:t>实施农村实用人才带头人培训计划。</w:t>
      </w:r>
      <w:r>
        <w:rPr>
          <w:rFonts w:hint="eastAsia"/>
          <w:color w:val="auto"/>
          <w:highlight w:val="none"/>
        </w:rPr>
        <w:t>以产业发展带头人、大学生村官等为主要对象，以现代农业和新农村发展的先进典型村为依托，按照“村庄是教室、村官是教师、现场是教材”的培养模式，通过专家授课、现场教学、交流研讨，不断提高农村带头人增收致富本领和示范带动能力。</w:t>
      </w:r>
    </w:p>
    <w:p w14:paraId="17CA1B3D">
      <w:pPr>
        <w:ind w:firstLine="560"/>
        <w:rPr>
          <w:color w:val="auto"/>
          <w:highlight w:val="none"/>
        </w:rPr>
      </w:pPr>
      <w:r>
        <w:rPr>
          <w:rFonts w:hint="eastAsia"/>
          <w:color w:val="auto"/>
          <w:highlight w:val="none"/>
        </w:rPr>
        <w:t>4</w:t>
      </w:r>
      <w:r>
        <w:rPr>
          <w:color w:val="auto"/>
          <w:highlight w:val="none"/>
        </w:rPr>
        <w:t>.</w:t>
      </w:r>
      <w:r>
        <w:rPr>
          <w:rFonts w:hint="eastAsia"/>
          <w:color w:val="auto"/>
          <w:highlight w:val="none"/>
        </w:rPr>
        <w:t>巩固精准扶贫成果</w:t>
      </w:r>
    </w:p>
    <w:p w14:paraId="23BFA1B3">
      <w:pPr>
        <w:ind w:firstLine="560"/>
        <w:rPr>
          <w:color w:val="auto"/>
          <w:highlight w:val="none"/>
        </w:rPr>
      </w:pPr>
      <w:r>
        <w:rPr>
          <w:rFonts w:hint="eastAsia"/>
          <w:color w:val="auto"/>
          <w:highlight w:val="none"/>
        </w:rPr>
        <w:t>全力巩固脱贫攻坚战胜利成果，确保脱贫人口不返贫、边缘人口不致贫。对退出的贫困村、贫困人口，继续保持现有帮扶政策总体稳定，持续巩固提升脱贫攻坚成果，坚决防止脱贫摘帽后松劲懈怠。强化脱贫基础性保障，完善贫困人口享受教育、基本医疗、扶持产业、促进就业、社保兜底等保障措施，提高人口素质、增强脱贫人口就业能力，形成可持续发展脱贫机制。</w:t>
      </w:r>
    </w:p>
    <w:p w14:paraId="18E00852">
      <w:pPr>
        <w:ind w:firstLine="560"/>
        <w:rPr>
          <w:color w:val="auto"/>
          <w:highlight w:val="none"/>
        </w:rPr>
      </w:pPr>
      <w:r>
        <w:rPr>
          <w:rFonts w:hint="eastAsia"/>
          <w:color w:val="auto"/>
          <w:highlight w:val="none"/>
        </w:rPr>
        <w:t>5.建设美丽乡村</w:t>
      </w:r>
    </w:p>
    <w:p w14:paraId="3815276F">
      <w:pPr>
        <w:ind w:firstLine="560"/>
        <w:rPr>
          <w:color w:val="auto"/>
          <w:highlight w:val="none"/>
        </w:rPr>
      </w:pPr>
      <w:r>
        <w:rPr>
          <w:rFonts w:hint="eastAsia"/>
          <w:color w:val="auto"/>
          <w:highlight w:val="none"/>
        </w:rPr>
        <w:t>围绕“千村美丽，万村整洁”总体规划目标，提升村容村貌。推动农村公路与沿线配套设施、产业园区、旅游景区、乡村旅游重点村一体化建设，建设改造农村公路</w:t>
      </w:r>
      <w:r>
        <w:rPr>
          <w:color w:val="auto"/>
          <w:highlight w:val="none"/>
        </w:rPr>
        <w:t>200公里以上。推进农村规模化供水工程建设和小型供水工程标准化改造，农村自来水普及率达到88%以上。持续开展村庄清洁行动和农村人居环境整治，引导农民开展户内改厕，加强农村公厕建设维护，分类梯次推进农村生活污水治理，推动农村生活垃圾源头分类减量，建立长效管护机制。到2025年，新创建美丽宜居村12个，农村生活污水治理率达到40%。</w:t>
      </w:r>
    </w:p>
    <w:p w14:paraId="38240A21">
      <w:pPr>
        <w:pStyle w:val="4"/>
        <w:ind w:firstLine="643"/>
        <w:rPr>
          <w:color w:val="auto"/>
          <w:highlight w:val="none"/>
        </w:rPr>
      </w:pPr>
      <w:bookmarkStart w:id="37" w:name="_Toc143701982"/>
      <w:r>
        <w:rPr>
          <w:color w:val="auto"/>
          <w:highlight w:val="none"/>
        </w:rPr>
        <w:t>第</w:t>
      </w:r>
      <w:r>
        <w:rPr>
          <w:rFonts w:hint="eastAsia"/>
          <w:color w:val="auto"/>
          <w:highlight w:val="none"/>
        </w:rPr>
        <w:t>五</w:t>
      </w:r>
      <w:r>
        <w:rPr>
          <w:color w:val="auto"/>
          <w:highlight w:val="none"/>
        </w:rPr>
        <w:t>节</w:t>
      </w:r>
      <w:r>
        <w:rPr>
          <w:rFonts w:hint="eastAsia"/>
          <w:color w:val="auto"/>
          <w:highlight w:val="none"/>
        </w:rPr>
        <w:t xml:space="preserve"> 创新性推动南芬智慧城市建设</w:t>
      </w:r>
      <w:bookmarkEnd w:id="37"/>
    </w:p>
    <w:p w14:paraId="65476DAC">
      <w:pPr>
        <w:ind w:firstLine="560"/>
        <w:rPr>
          <w:rFonts w:ascii="仿宋" w:hAnsi="仿宋" w:cs="仿宋"/>
          <w:color w:val="auto"/>
          <w:szCs w:val="28"/>
          <w:highlight w:val="none"/>
        </w:rPr>
      </w:pPr>
      <w:r>
        <w:rPr>
          <w:rFonts w:hint="eastAsia"/>
          <w:color w:val="auto"/>
          <w:highlight w:val="none"/>
        </w:rPr>
        <w:t>贯彻实施网络强国战略，加快信息基础设施建设，加快推进5G布局，加快推进大数据产业布局和南芬智慧城市建设工作。开展数字技术在城市综合治理、智能制造、智慧物流、智慧旅游、智能交通、远程医疗、智慧养老、远程教育、车联网等领域的应用，建设新一代智慧城市。打造南芬区四大中心平台支撑，推动产业创新，构建“智慧南芬”。通过培育发展数字经济，建设南芬智慧城市。持续推进南芬区5G通信网络基础设施建设，重点推进工业互联网、物联网、大数据、人工智能、智能制造、区块链等技术和南芬区工业企业等实体经济深度融合发展；推动工业企业开展生产线网络化、智能化升级改造；培育工业互联网平台，完善数据集成、开发工具等关键技术，提高平台服务能力，抢抓数字经济发展机遇。落实通信、广播电视和互联网“三网融合”，搭建超高速、大容量、高智能干线传输网络。大力发展农村数字经济和智慧农业，推进</w:t>
      </w:r>
      <w:r>
        <w:rPr>
          <w:color w:val="auto"/>
          <w:highlight w:val="none"/>
        </w:rPr>
        <w:t>5</w:t>
      </w:r>
      <w:r>
        <w:rPr>
          <w:rFonts w:hint="eastAsia"/>
          <w:color w:val="auto"/>
          <w:highlight w:val="none"/>
        </w:rPr>
        <w:t>G深化普及应用，推广云计算、大数据、物联网、人工智能在农业生产经营管理应用。支持发展网上银行、远程教育、远程医疗、网上购物、网上文娱等新兴服务业。推进公共信息服务平台建设，建立完善基础性、应用型和公共型数据</w:t>
      </w:r>
      <w:r>
        <w:rPr>
          <w:rFonts w:hint="eastAsia" w:ascii="仿宋" w:hAnsi="仿宋" w:cs="仿宋"/>
          <w:color w:val="auto"/>
          <w:szCs w:val="28"/>
          <w:highlight w:val="none"/>
        </w:rPr>
        <w:t>库。</w:t>
      </w:r>
    </w:p>
    <w:p w14:paraId="4E48DE3D">
      <w:pPr>
        <w:ind w:firstLine="560"/>
        <w:rPr>
          <w:rFonts w:ascii="仿宋" w:hAnsi="仿宋" w:cs="仿宋"/>
          <w:color w:val="auto"/>
          <w:szCs w:val="28"/>
          <w:highlight w:val="none"/>
        </w:rPr>
      </w:pPr>
      <w:r>
        <w:rPr>
          <w:rFonts w:hint="eastAsia" w:ascii="仿宋" w:hAnsi="仿宋" w:cs="仿宋"/>
          <w:color w:val="auto"/>
          <w:szCs w:val="28"/>
          <w:highlight w:val="none"/>
        </w:rPr>
        <w:t>“十四五”期间，全区建设开通5G基站224个，区内5G骨干网络搭建完成，基本实现5G网络全覆盖。充分发挥5G通信网络建设规模效应，推进5G在不同行业和不同园区的场景应用，建成“5G+工业互联网”示范工厂3个、示范园区1个、5G智慧景区2个。</w:t>
      </w:r>
    </w:p>
    <w:p w14:paraId="1EA3D629">
      <w:pPr>
        <w:spacing w:line="240" w:lineRule="auto"/>
        <w:ind w:firstLine="0" w:firstLineChars="0"/>
        <w:rPr>
          <w:rFonts w:ascii="仿宋" w:hAnsi="仿宋" w:cs="仿宋"/>
          <w:b/>
          <w:bCs/>
          <w:color w:val="auto"/>
          <w:kern w:val="44"/>
          <w:szCs w:val="28"/>
          <w:highlight w:val="none"/>
        </w:rPr>
      </w:pPr>
      <w:r>
        <w:rPr>
          <w:rFonts w:hint="eastAsia" w:ascii="仿宋" w:hAnsi="仿宋" w:cs="仿宋"/>
          <w:color w:val="auto"/>
          <w:szCs w:val="28"/>
          <w:highlight w:val="none"/>
        </w:rPr>
        <w:br w:type="page"/>
      </w:r>
    </w:p>
    <w:p w14:paraId="5DC39328">
      <w:pPr>
        <w:pStyle w:val="3"/>
        <w:ind w:firstLine="643"/>
        <w:rPr>
          <w:color w:val="auto"/>
          <w:highlight w:val="none"/>
        </w:rPr>
      </w:pPr>
      <w:bookmarkStart w:id="38" w:name="_Toc143701983"/>
      <w:r>
        <w:rPr>
          <w:color w:val="auto"/>
          <w:highlight w:val="none"/>
        </w:rPr>
        <w:t>第</w:t>
      </w:r>
      <w:r>
        <w:rPr>
          <w:rFonts w:hint="eastAsia"/>
          <w:color w:val="auto"/>
          <w:highlight w:val="none"/>
        </w:rPr>
        <w:t>九</w:t>
      </w:r>
      <w:r>
        <w:rPr>
          <w:color w:val="auto"/>
          <w:highlight w:val="none"/>
        </w:rPr>
        <w:t>章</w:t>
      </w:r>
      <w:r>
        <w:rPr>
          <w:rFonts w:hint="eastAsia"/>
          <w:color w:val="auto"/>
          <w:highlight w:val="none"/>
        </w:rPr>
        <w:t xml:space="preserve"> 民生事业篇</w:t>
      </w:r>
      <w:bookmarkEnd w:id="38"/>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21500C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7DB0853F">
            <w:pPr>
              <w:pStyle w:val="8"/>
              <w:ind w:firstLine="480"/>
              <w:rPr>
                <w:color w:val="auto"/>
                <w:sz w:val="24"/>
                <w:highlight w:val="none"/>
              </w:rPr>
            </w:pPr>
            <w:r>
              <w:rPr>
                <w:color w:val="auto"/>
                <w:sz w:val="24"/>
                <w:highlight w:val="none"/>
              </w:rPr>
              <w:t>政策依据</w:t>
            </w:r>
            <w:r>
              <w:rPr>
                <w:rFonts w:hint="eastAsia"/>
                <w:color w:val="auto"/>
                <w:sz w:val="24"/>
                <w:highlight w:val="none"/>
              </w:rPr>
              <w:t>：《中共中央 国务院关于深化医疗保障制度改革的意见》、《国务院关于进一步做好稳就业工作的意见》、中共中央 国务院印发《深化新时代教育评价改革总体方案》、《国务院办公厅关于深入开展消费扶贫助力打赢脱贫攻坚战的指导意见》、《国务院办公厅关于推进养老服务发展的意见》</w:t>
            </w:r>
          </w:p>
        </w:tc>
      </w:tr>
      <w:tr w14:paraId="2B8AB85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7B7AE1F2">
            <w:pPr>
              <w:pStyle w:val="8"/>
              <w:ind w:firstLine="480"/>
              <w:rPr>
                <w:color w:val="auto"/>
                <w:sz w:val="24"/>
                <w:highlight w:val="none"/>
              </w:rPr>
            </w:pPr>
            <w:r>
              <w:rPr>
                <w:color w:val="auto"/>
                <w:sz w:val="24"/>
                <w:highlight w:val="none"/>
              </w:rPr>
              <w:t>规划主题</w:t>
            </w:r>
            <w:r>
              <w:rPr>
                <w:rFonts w:hint="eastAsia"/>
                <w:color w:val="auto"/>
                <w:sz w:val="24"/>
                <w:highlight w:val="none"/>
              </w:rPr>
              <w:t>：聚焦民生实事，一以贯之增进南芬福祉</w:t>
            </w:r>
          </w:p>
        </w:tc>
      </w:tr>
      <w:tr w14:paraId="20B238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FB90A8B">
            <w:pPr>
              <w:pStyle w:val="8"/>
              <w:ind w:firstLine="480"/>
              <w:rPr>
                <w:color w:val="auto"/>
                <w:sz w:val="24"/>
                <w:highlight w:val="none"/>
              </w:rPr>
            </w:pPr>
            <w:r>
              <w:rPr>
                <w:color w:val="auto"/>
                <w:sz w:val="24"/>
                <w:highlight w:val="none"/>
              </w:rPr>
              <w:t>规划领域</w:t>
            </w:r>
            <w:r>
              <w:rPr>
                <w:rFonts w:hint="eastAsia"/>
                <w:color w:val="auto"/>
                <w:sz w:val="24"/>
                <w:highlight w:val="none"/>
              </w:rPr>
              <w:t>：民生保障领域</w:t>
            </w:r>
          </w:p>
        </w:tc>
      </w:tr>
      <w:tr w14:paraId="01F8C8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4E328712">
            <w:pPr>
              <w:pStyle w:val="8"/>
              <w:ind w:firstLine="480"/>
              <w:rPr>
                <w:color w:val="auto"/>
                <w:sz w:val="24"/>
                <w:highlight w:val="none"/>
              </w:rPr>
            </w:pPr>
            <w:r>
              <w:rPr>
                <w:color w:val="auto"/>
                <w:sz w:val="24"/>
                <w:highlight w:val="none"/>
              </w:rPr>
              <w:t>规划重点</w:t>
            </w:r>
            <w:r>
              <w:rPr>
                <w:rFonts w:hint="eastAsia"/>
                <w:color w:val="auto"/>
                <w:sz w:val="24"/>
                <w:highlight w:val="none"/>
              </w:rPr>
              <w:t>：就业、扶贫、医疗、养老、退役军人</w:t>
            </w:r>
          </w:p>
        </w:tc>
      </w:tr>
    </w:tbl>
    <w:p w14:paraId="7FCC718F">
      <w:pPr>
        <w:ind w:firstLine="560"/>
        <w:rPr>
          <w:color w:val="auto"/>
          <w:highlight w:val="none"/>
        </w:rPr>
      </w:pPr>
      <w:r>
        <w:rPr>
          <w:rFonts w:hint="eastAsia"/>
          <w:color w:val="auto"/>
          <w:highlight w:val="none"/>
        </w:rPr>
        <w:t>对标共享发展理念，加大社会保障投入，通过民生事业建设，全面提升南芬区社会公共服务能力，让南芬广大人民群众共享经济社会发展成果。保障充分就业、发展文化教育卫生事业，提升社会保障能力，丰富群众文化生活，促进南芬区民生工作高质量的发展，打造</w:t>
      </w:r>
      <w:r>
        <w:rPr>
          <w:rFonts w:hint="eastAsia"/>
          <w:b/>
          <w:bCs/>
          <w:color w:val="auto"/>
          <w:highlight w:val="none"/>
        </w:rPr>
        <w:t>幸福南芬</w:t>
      </w:r>
      <w:r>
        <w:rPr>
          <w:rFonts w:hint="eastAsia"/>
          <w:color w:val="auto"/>
          <w:highlight w:val="none"/>
        </w:rPr>
        <w:t>。</w:t>
      </w:r>
    </w:p>
    <w:p w14:paraId="34D7EA36">
      <w:pPr>
        <w:pStyle w:val="4"/>
        <w:ind w:firstLine="643"/>
        <w:rPr>
          <w:color w:val="auto"/>
          <w:highlight w:val="none"/>
        </w:rPr>
      </w:pPr>
      <w:bookmarkStart w:id="39" w:name="_Toc143701984"/>
      <w:r>
        <w:rPr>
          <w:rFonts w:hint="eastAsia"/>
          <w:color w:val="auto"/>
          <w:highlight w:val="none"/>
        </w:rPr>
        <w:t>第一节 促进创业保障就业</w:t>
      </w:r>
      <w:bookmarkEnd w:id="39"/>
    </w:p>
    <w:p w14:paraId="3D242958">
      <w:pPr>
        <w:ind w:firstLine="560"/>
        <w:rPr>
          <w:color w:val="auto"/>
          <w:highlight w:val="none"/>
        </w:rPr>
      </w:pPr>
      <w:r>
        <w:rPr>
          <w:rFonts w:hint="eastAsia"/>
          <w:color w:val="auto"/>
          <w:highlight w:val="none"/>
        </w:rPr>
        <w:t>完善就业保障体系，实施就业优先战略。重点保障高校毕业生、退役军人、就业困难群体、农村转移劳动力等重点群体就业。健全创业扶持体系，通过提供创业带头人社会保险补贴、创业场地补贴、创业担保贷款和创业孵化支持等政策措施，促进以创业带动就业。完善就业服务体系，打造“智慧人社”信息系统，实现智慧经办、智慧服务、智慧监管、智慧决策，为企业和群众提供高效便捷优质的人社公共服务。设立南芬区人才资源库，收录在相应行业有一技之长的人员，资源库对用人单位开放，鼓励人才有偿、兼职为用人单位服务。建立就失业风险防范体系，开展全方位就失业监测，将风险化解在源头，确保全区就业形势基本稳定。继续开展构建和谐劳动关系建设，促进企业发展，维护劳动者合法权益。</w:t>
      </w:r>
    </w:p>
    <w:p w14:paraId="5E7CC6A1">
      <w:pPr>
        <w:ind w:firstLine="560"/>
        <w:rPr>
          <w:color w:val="auto"/>
          <w:highlight w:val="none"/>
        </w:rPr>
      </w:pPr>
      <w:r>
        <w:rPr>
          <w:rFonts w:hint="eastAsia" w:ascii="仿宋" w:hAnsi="仿宋" w:cs="仿宋"/>
          <w:color w:val="auto"/>
          <w:szCs w:val="28"/>
          <w:highlight w:val="none"/>
        </w:rPr>
        <w:t>实施稳岗扩就业政策，深入落实“春暖辽沈</w:t>
      </w:r>
      <w:r>
        <w:rPr>
          <w:rFonts w:hint="eastAsia" w:ascii="微软雅黑" w:hAnsi="微软雅黑" w:eastAsia="微软雅黑" w:cs="微软雅黑"/>
          <w:color w:val="auto"/>
          <w:szCs w:val="28"/>
          <w:highlight w:val="none"/>
        </w:rPr>
        <w:t>·</w:t>
      </w:r>
      <w:r>
        <w:rPr>
          <w:rFonts w:hint="eastAsia" w:ascii="仿宋" w:hAnsi="仿宋" w:cs="仿宋"/>
          <w:color w:val="auto"/>
          <w:szCs w:val="28"/>
          <w:highlight w:val="none"/>
        </w:rPr>
        <w:t>援企护航”行动，支持和规范发展新就业形态，促进创业带动就业。积极落实“技能本溪”行动，健全终身职业技能培训制度，围绕产业发展需求和企业生产需要，依托校地企合作平台，开展企业职工岗位技能提升、重点群体就业技能培训和新业态新模式从业人员技能培训，推动劳动力要素合理畅通有序流动，构建以区为主导、以街道为补充、覆盖城乡的统一规范人力资源市场体系。加强对高校毕业生、退役军人、失业人员等重点群体就业创业指导服务，重点抓好高校毕业生就业创业和就业困难人员就业，确保零就业家庭动态为零。到2025年，累计新增城镇就业1200人，努力创建省级充分就业社区3个。</w:t>
      </w:r>
    </w:p>
    <w:p w14:paraId="3E84AA04">
      <w:pPr>
        <w:pStyle w:val="4"/>
        <w:ind w:firstLine="643"/>
        <w:rPr>
          <w:color w:val="auto"/>
          <w:highlight w:val="none"/>
        </w:rPr>
      </w:pPr>
      <w:bookmarkStart w:id="40" w:name="_Toc143701985"/>
      <w:r>
        <w:rPr>
          <w:rFonts w:hint="eastAsia"/>
          <w:color w:val="auto"/>
          <w:highlight w:val="none"/>
        </w:rPr>
        <w:t>第二节 发展教育完善医疗</w:t>
      </w:r>
      <w:bookmarkEnd w:id="40"/>
    </w:p>
    <w:p w14:paraId="775AB722">
      <w:pPr>
        <w:ind w:firstLine="560"/>
        <w:rPr>
          <w:color w:val="auto"/>
          <w:highlight w:val="none"/>
        </w:rPr>
      </w:pPr>
      <w:r>
        <w:rPr>
          <w:color w:val="auto"/>
          <w:highlight w:val="none"/>
        </w:rPr>
        <w:t>1.</w:t>
      </w:r>
      <w:r>
        <w:rPr>
          <w:rFonts w:hint="eastAsia"/>
          <w:color w:val="auto"/>
          <w:highlight w:val="none"/>
        </w:rPr>
        <w:t>全面加强教育工作</w:t>
      </w:r>
    </w:p>
    <w:p w14:paraId="42B7A123">
      <w:pPr>
        <w:ind w:firstLine="560"/>
        <w:rPr>
          <w:color w:val="auto"/>
          <w:highlight w:val="none"/>
        </w:rPr>
      </w:pPr>
      <w:r>
        <w:rPr>
          <w:rFonts w:hint="eastAsia"/>
          <w:color w:val="auto"/>
          <w:highlight w:val="none"/>
        </w:rPr>
        <w:t>全面贯彻党的教育方针，坚持立德树人，加强师德师风建设，培养德、智、体、美、劳全面发展的社会主义建设者和接班人，健全学校、家庭、社会协同育人机制，提升教师教书育人能力素质，增强学生文明素养、社会责任意识、实践本领，重视青少年身体素质和心理健康教育。坚持教育公益性原则，深化教育改革，推进实施区管校聘，促进教育公平，推动义务教育优质均衡发展和城乡一体化。完善普惠性学前教育，提高普惠性幼儿园覆盖率，公办园入园率达</w:t>
      </w:r>
      <w:r>
        <w:rPr>
          <w:color w:val="auto"/>
          <w:highlight w:val="none"/>
        </w:rPr>
        <w:t>50%。支持和规范民办教育发展，规范校外培训机构。发挥在线教育优势，建设智慧型校园，完善终身学习体系，建</w:t>
      </w:r>
      <w:r>
        <w:rPr>
          <w:rFonts w:hint="eastAsia"/>
          <w:color w:val="auto"/>
          <w:highlight w:val="none"/>
        </w:rPr>
        <w:t>设学习型社会。力争建设一所高质量职业技术学校或分校（与国家开放大学合作），着力培养适合本区就业需求的学员，减缓青年劳动力人口外流。</w:t>
      </w:r>
      <w:r>
        <w:rPr>
          <w:color w:val="auto"/>
          <w:highlight w:val="none"/>
        </w:rPr>
        <w:t>2025年，巩固普惠性幼儿园全覆盖成果，公办园入园率达50%以上。</w:t>
      </w:r>
    </w:p>
    <w:p w14:paraId="528C3969">
      <w:pPr>
        <w:ind w:firstLine="560"/>
        <w:rPr>
          <w:color w:val="auto"/>
          <w:highlight w:val="none"/>
        </w:rPr>
      </w:pPr>
      <w:r>
        <w:rPr>
          <w:rFonts w:hint="eastAsia"/>
          <w:color w:val="auto"/>
          <w:highlight w:val="none"/>
        </w:rPr>
        <w:t>2. 提高公共卫生服务能力</w:t>
      </w:r>
    </w:p>
    <w:p w14:paraId="26095299">
      <w:pPr>
        <w:ind w:firstLine="560"/>
        <w:rPr>
          <w:color w:val="auto"/>
          <w:highlight w:val="none"/>
        </w:rPr>
      </w:pPr>
      <w:r>
        <w:rPr>
          <w:rFonts w:hint="eastAsia" w:ascii="仿宋" w:hAnsi="仿宋" w:cs="仿宋"/>
          <w:color w:val="auto"/>
          <w:szCs w:val="28"/>
          <w:highlight w:val="none"/>
        </w:rPr>
        <w:t>实施疫情防控能力提升项目，加强疫情防控救治体系和应急能力建设。推进医联体建设工作，提升基本公共卫生和基本医疗卫生服务整体水平。建立健全院前应急救治体系，</w:t>
      </w:r>
      <w:r>
        <w:rPr>
          <w:rFonts w:hint="eastAsia"/>
          <w:color w:val="auto"/>
          <w:highlight w:val="none"/>
        </w:rPr>
        <w:t>实施并购辽健集团本钢南芬医院，规划建设集医疗急救、医疗救治为一体的南芬区综合医院（一级甲等综合医院）。完善以南芬综合医院为龙头，社区卫生服务中心（乡镇卫生院）为支撑，村卫生室为网底的医疗卫生服务体系。提升公共卫生应急能力建设，改善疾控基础条件，完善疾病预防控制体系和妇幼健康服务体系。推进中医药建设，推广中医适宜技术，提升中医馆整体水平。推进名医工作室创建工作。</w:t>
      </w:r>
      <w:r>
        <w:rPr>
          <w:rFonts w:hint="eastAsia" w:ascii="仿宋" w:hAnsi="仿宋" w:cs="仿宋"/>
          <w:color w:val="auto"/>
          <w:highlight w:val="none"/>
        </w:rPr>
        <w:t>到2025年，建设综合医院1个，</w:t>
      </w:r>
      <w:r>
        <w:rPr>
          <w:color w:val="auto"/>
          <w:highlight w:val="none"/>
        </w:rPr>
        <w:t>建强村卫生室5个。</w:t>
      </w:r>
    </w:p>
    <w:p w14:paraId="0231B5F8">
      <w:pPr>
        <w:pStyle w:val="4"/>
        <w:ind w:firstLine="643"/>
        <w:rPr>
          <w:color w:val="auto"/>
          <w:highlight w:val="none"/>
        </w:rPr>
      </w:pPr>
      <w:bookmarkStart w:id="41" w:name="_Toc143701986"/>
      <w:r>
        <w:rPr>
          <w:color w:val="auto"/>
          <w:highlight w:val="none"/>
        </w:rPr>
        <w:t>第</w:t>
      </w:r>
      <w:r>
        <w:rPr>
          <w:rFonts w:hint="eastAsia"/>
          <w:color w:val="auto"/>
          <w:highlight w:val="none"/>
        </w:rPr>
        <w:t>三</w:t>
      </w:r>
      <w:r>
        <w:rPr>
          <w:color w:val="auto"/>
          <w:highlight w:val="none"/>
        </w:rPr>
        <w:t>节</w:t>
      </w:r>
      <w:r>
        <w:rPr>
          <w:rFonts w:hint="eastAsia"/>
          <w:color w:val="auto"/>
          <w:highlight w:val="none"/>
        </w:rPr>
        <w:t xml:space="preserve"> 提升社会保障水平</w:t>
      </w:r>
      <w:bookmarkEnd w:id="41"/>
    </w:p>
    <w:p w14:paraId="6A0C4489">
      <w:pPr>
        <w:ind w:firstLine="560"/>
        <w:rPr>
          <w:color w:val="auto"/>
          <w:highlight w:val="none"/>
        </w:rPr>
      </w:pPr>
      <w:r>
        <w:rPr>
          <w:rFonts w:hint="eastAsia"/>
          <w:color w:val="auto"/>
          <w:highlight w:val="none"/>
        </w:rPr>
        <w:t>1. 健全社会保障体系</w:t>
      </w:r>
    </w:p>
    <w:p w14:paraId="28B171A3">
      <w:pPr>
        <w:ind w:firstLine="560"/>
        <w:rPr>
          <w:color w:val="auto"/>
          <w:highlight w:val="none"/>
        </w:rPr>
      </w:pPr>
      <w:r>
        <w:rPr>
          <w:rFonts w:hint="eastAsia"/>
          <w:color w:val="auto"/>
          <w:highlight w:val="none"/>
        </w:rPr>
        <w:t>做好企业职工基本养老保险全国统筹，落实基本养老金调整机制，适时调整企业退休人员基本养老金水平和城乡居民养老保险最低标准，按时足额发放退休人员基本养老金。推动个人养老金发展，扩大社会保险覆盖范围，实现基本医疗保险、工伤保险省级统筹。提高最低生活保障标准，推进农村特困供养服务设施维修改造和失能半失能照护型特困供养服务设施建设。积极应对人口老龄化，推进养老服务体系建设，促进医养结合、康养融合发展，建设以居家为基础、社区为依托、机构为补充的多层次养老服务体系。贯彻落实好省、市“一老一小”整体解决方案，加快推进南芬区敬老院改扩建、普惠托育、下马塘老旧小区养老托幼改造等项目建设。完善生育支持政策体系和妇幼健康服务体系，降低生育、养育、教育成本，做好普惠托育服务。到</w:t>
      </w:r>
      <w:r>
        <w:rPr>
          <w:color w:val="auto"/>
          <w:highlight w:val="none"/>
        </w:rPr>
        <w:t>2025年，养老机构护理型床位占比达到55%以上。</w:t>
      </w:r>
    </w:p>
    <w:p w14:paraId="6DEC9C37">
      <w:pPr>
        <w:ind w:firstLine="560"/>
        <w:rPr>
          <w:color w:val="auto"/>
          <w:highlight w:val="none"/>
        </w:rPr>
      </w:pPr>
      <w:r>
        <w:rPr>
          <w:color w:val="auto"/>
          <w:highlight w:val="none"/>
        </w:rPr>
        <w:t>2</w:t>
      </w:r>
      <w:r>
        <w:rPr>
          <w:rFonts w:hint="eastAsia"/>
          <w:color w:val="auto"/>
          <w:highlight w:val="none"/>
        </w:rPr>
        <w:t>.深入落实退役军人保障工作</w:t>
      </w:r>
    </w:p>
    <w:p w14:paraId="75E2CFC6">
      <w:pPr>
        <w:ind w:firstLine="560"/>
        <w:rPr>
          <w:color w:val="auto"/>
          <w:highlight w:val="none"/>
        </w:rPr>
      </w:pPr>
      <w:r>
        <w:rPr>
          <w:rFonts w:hint="eastAsia"/>
          <w:color w:val="auto"/>
          <w:highlight w:val="none"/>
        </w:rPr>
        <w:t>广泛深入宣传和落实《退役军人保障法》，完善服务功能，增强服务理念，提升服务和保障能力，落实保障政策。全面提升烈士纪念设施管理保护水平，改造修缮南芬区烈士陵园、苗可秀烈士纪念广场。建立困难</w:t>
      </w:r>
      <w:r>
        <w:rPr>
          <w:color w:val="auto"/>
          <w:highlight w:val="none"/>
        </w:rPr>
        <w:t>退役军人救助基金，加大</w:t>
      </w:r>
      <w:r>
        <w:rPr>
          <w:rFonts w:hint="eastAsia"/>
          <w:color w:val="auto"/>
          <w:highlight w:val="none"/>
        </w:rPr>
        <w:t>对</w:t>
      </w:r>
      <w:r>
        <w:rPr>
          <w:color w:val="auto"/>
          <w:highlight w:val="none"/>
        </w:rPr>
        <w:t>困难退役军人救助力度。</w:t>
      </w:r>
      <w:r>
        <w:rPr>
          <w:rFonts w:hint="eastAsia"/>
          <w:color w:val="auto"/>
          <w:highlight w:val="none"/>
        </w:rPr>
        <w:t>加强双拥共建，广泛开展接地气的双拥文化活动，引导全社会参与双拥、支持双拥。做好退役军人安置、随军家属就业、子女入学等工作，积极协调解决实际问题。</w:t>
      </w:r>
    </w:p>
    <w:p w14:paraId="5B6A16A2">
      <w:pPr>
        <w:pStyle w:val="4"/>
        <w:ind w:firstLine="643"/>
        <w:rPr>
          <w:color w:val="auto"/>
          <w:highlight w:val="none"/>
        </w:rPr>
      </w:pPr>
      <w:bookmarkStart w:id="42" w:name="_Toc143701987"/>
      <w:r>
        <w:rPr>
          <w:color w:val="auto"/>
          <w:highlight w:val="none"/>
        </w:rPr>
        <w:t>第</w:t>
      </w:r>
      <w:r>
        <w:rPr>
          <w:rFonts w:hint="eastAsia"/>
          <w:color w:val="auto"/>
          <w:highlight w:val="none"/>
        </w:rPr>
        <w:t>四</w:t>
      </w:r>
      <w:r>
        <w:rPr>
          <w:color w:val="auto"/>
          <w:highlight w:val="none"/>
        </w:rPr>
        <w:t>节</w:t>
      </w:r>
      <w:r>
        <w:rPr>
          <w:rFonts w:hint="eastAsia"/>
          <w:color w:val="auto"/>
          <w:highlight w:val="none"/>
        </w:rPr>
        <w:t xml:space="preserve"> 丰富群众文体生活</w:t>
      </w:r>
      <w:bookmarkEnd w:id="42"/>
    </w:p>
    <w:p w14:paraId="528765BF">
      <w:pPr>
        <w:ind w:firstLine="560"/>
        <w:rPr>
          <w:color w:val="auto"/>
          <w:highlight w:val="none"/>
        </w:rPr>
      </w:pPr>
      <w:r>
        <w:rPr>
          <w:rFonts w:hint="eastAsia"/>
          <w:color w:val="auto"/>
          <w:highlight w:val="none"/>
        </w:rPr>
        <w:t>不断巩固基层文体阵地建设，做好区图书馆和文化馆的提档升级，力争完成国家三级馆的达标工作；实现社区（村）基层综合文化服务中心和文体广场建设全覆盖。实施文艺精品创作工程和中华优秀传统文化传承发展工程。开展“奋进新时代</w:t>
      </w:r>
      <w:r>
        <w:rPr>
          <w:rFonts w:ascii="微软雅黑" w:hAnsi="微软雅黑" w:cs="微软雅黑"/>
          <w:color w:val="auto"/>
          <w:highlight w:val="none"/>
        </w:rPr>
        <w:t>•</w:t>
      </w:r>
      <w:r>
        <w:rPr>
          <w:rFonts w:hint="eastAsia" w:ascii="仿宋" w:hAnsi="仿宋" w:cs="仿宋"/>
          <w:color w:val="auto"/>
          <w:highlight w:val="none"/>
        </w:rPr>
        <w:t>振兴新突破”“辽东胜境</w:t>
      </w:r>
      <w:r>
        <w:rPr>
          <w:rFonts w:ascii="微软雅黑" w:hAnsi="微软雅黑" w:cs="微软雅黑"/>
          <w:color w:val="auto"/>
          <w:highlight w:val="none"/>
        </w:rPr>
        <w:t>•</w:t>
      </w:r>
      <w:r>
        <w:rPr>
          <w:rFonts w:hint="eastAsia" w:ascii="仿宋" w:hAnsi="仿宋" w:cs="仿宋"/>
          <w:color w:val="auto"/>
          <w:highlight w:val="none"/>
        </w:rPr>
        <w:t>锦绣南芬”“百姓大舞台”“细河文化长廊”“桃花诗会</w:t>
      </w:r>
      <w:r>
        <w:rPr>
          <w:rFonts w:hint="eastAsia"/>
          <w:color w:val="auto"/>
          <w:highlight w:val="none"/>
        </w:rPr>
        <w:t>”等群众文化活动，进一步加大地区文旅宣传推介力度。落实国家文化数字化战略，逐步增加数字化阅读产品和服务供给。积极参加本溪市第三十届全民运动会，加大“三大球”运动员选拔、培养力度，全面开展群众健身活动，丰富冰雪运动项目，培育品牌赛事。</w:t>
      </w:r>
    </w:p>
    <w:tbl>
      <w:tblPr>
        <w:tblStyle w:val="19"/>
        <w:tblpPr w:leftFromText="180" w:rightFromText="180" w:vertAnchor="text" w:horzAnchor="page" w:tblpX="1806" w:tblpY="29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4"/>
      </w:tblGrid>
      <w:tr w14:paraId="5298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364" w:type="dxa"/>
            <w:tcBorders>
              <w:bottom w:val="single" w:color="auto" w:sz="4" w:space="0"/>
            </w:tcBorders>
            <w:vAlign w:val="center"/>
          </w:tcPr>
          <w:p w14:paraId="052CCE56">
            <w:pPr>
              <w:ind w:firstLine="0" w:firstLineChars="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专栏9  公共服务重点项目（</w:t>
            </w:r>
            <w:r>
              <w:rPr>
                <w:rFonts w:hint="eastAsia" w:asciiTheme="minorEastAsia" w:hAnsiTheme="minorEastAsia" w:eastAsiaTheme="minorEastAsia"/>
                <w:b/>
                <w:color w:val="auto"/>
                <w:sz w:val="21"/>
                <w:szCs w:val="21"/>
                <w:highlight w:val="none"/>
                <w:lang w:val="en-US" w:eastAsia="zh-CN"/>
              </w:rPr>
              <w:t>18</w:t>
            </w:r>
            <w:r>
              <w:rPr>
                <w:rFonts w:hint="eastAsia" w:asciiTheme="minorEastAsia" w:hAnsiTheme="minorEastAsia" w:eastAsiaTheme="minorEastAsia"/>
                <w:b/>
                <w:color w:val="auto"/>
                <w:sz w:val="21"/>
                <w:szCs w:val="21"/>
                <w:highlight w:val="none"/>
              </w:rPr>
              <w:t>个）</w:t>
            </w:r>
          </w:p>
        </w:tc>
      </w:tr>
      <w:tr w14:paraId="75DD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364" w:type="dxa"/>
          </w:tcPr>
          <w:p w14:paraId="532F659F">
            <w:pPr>
              <w:ind w:firstLine="42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公共服务重点项目</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露天矿周边城中村避险安置小区建设工程、南芬避险安置广场建设项目、南芬城区排水系统提标改造工程、南芬经济开发区职工综合服务区项目、南芬经济开发区专家公寓生活区项目、南芬棚户区改造配套雨水排水工程、南芬区翠海华庭小区防水改造工程、南芬区妇幼综合楼项目、南芬区基层医疗机构服务能力提升项目、南芬区敬老院改扩建项目、南芬区应急管理综合应用平台、南芬区职工文体活动中心建设项目、本溪市南芬区综合医院建设工程、下马</w:t>
            </w:r>
            <w:r>
              <w:rPr>
                <w:rFonts w:hint="eastAsia" w:asciiTheme="minorEastAsia" w:hAnsiTheme="minorEastAsia" w:eastAsiaTheme="minorEastAsia"/>
                <w:color w:val="auto"/>
                <w:sz w:val="21"/>
                <w:szCs w:val="21"/>
                <w:highlight w:val="none"/>
                <w:lang w:val="en-US" w:eastAsia="zh-CN"/>
              </w:rPr>
              <w:t>塘</w:t>
            </w:r>
            <w:r>
              <w:rPr>
                <w:rFonts w:hint="eastAsia" w:asciiTheme="minorEastAsia" w:hAnsiTheme="minorEastAsia" w:eastAsiaTheme="minorEastAsia"/>
                <w:color w:val="auto"/>
                <w:sz w:val="21"/>
                <w:szCs w:val="21"/>
                <w:highlight w:val="none"/>
              </w:rPr>
              <w:t>老旧小区养老和托幼改造工程、下马塘老旧小区改造、、南芬区城乡供水一体化工程、南芬区教育集团义务教育配套设施改造工程、下马塘避险安置小区二期建设工程</w:t>
            </w:r>
          </w:p>
        </w:tc>
      </w:tr>
    </w:tbl>
    <w:p w14:paraId="672999A1">
      <w:pPr>
        <w:ind w:firstLine="560"/>
        <w:rPr>
          <w:color w:val="auto"/>
          <w:highlight w:val="none"/>
        </w:rPr>
      </w:pPr>
    </w:p>
    <w:p w14:paraId="0CB2AE7F">
      <w:pPr>
        <w:ind w:firstLine="560"/>
        <w:rPr>
          <w:color w:val="auto"/>
          <w:kern w:val="44"/>
          <w:highlight w:val="none"/>
        </w:rPr>
      </w:pPr>
      <w:r>
        <w:rPr>
          <w:color w:val="auto"/>
          <w:highlight w:val="none"/>
        </w:rPr>
        <w:br w:type="page"/>
      </w:r>
    </w:p>
    <w:p w14:paraId="1CF181EF">
      <w:pPr>
        <w:pStyle w:val="3"/>
        <w:ind w:firstLine="643"/>
        <w:rPr>
          <w:color w:val="auto"/>
          <w:highlight w:val="none"/>
        </w:rPr>
      </w:pPr>
      <w:bookmarkStart w:id="43" w:name="_Toc143701988"/>
      <w:r>
        <w:rPr>
          <w:color w:val="auto"/>
          <w:highlight w:val="none"/>
        </w:rPr>
        <w:t>第</w:t>
      </w:r>
      <w:r>
        <w:rPr>
          <w:rFonts w:hint="eastAsia"/>
          <w:color w:val="auto"/>
          <w:highlight w:val="none"/>
        </w:rPr>
        <w:t>十</w:t>
      </w:r>
      <w:r>
        <w:rPr>
          <w:color w:val="auto"/>
          <w:highlight w:val="none"/>
        </w:rPr>
        <w:t>章</w:t>
      </w:r>
      <w:r>
        <w:rPr>
          <w:rFonts w:hint="eastAsia"/>
          <w:color w:val="auto"/>
          <w:highlight w:val="none"/>
        </w:rPr>
        <w:t xml:space="preserve"> 深化改革篇</w:t>
      </w:r>
      <w:bookmarkEnd w:id="43"/>
    </w:p>
    <w:tbl>
      <w:tblPr>
        <w:tblStyle w:val="1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1227BA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op w:val="thinThickLargeGap" w:color="auto" w:sz="24" w:space="0"/>
            </w:tcBorders>
          </w:tcPr>
          <w:p w14:paraId="3964DACA">
            <w:pPr>
              <w:pStyle w:val="8"/>
              <w:ind w:firstLine="480"/>
              <w:rPr>
                <w:color w:val="auto"/>
                <w:sz w:val="24"/>
                <w:highlight w:val="none"/>
              </w:rPr>
            </w:pPr>
            <w:r>
              <w:rPr>
                <w:color w:val="auto"/>
                <w:sz w:val="24"/>
                <w:highlight w:val="none"/>
              </w:rPr>
              <w:t>政策依据</w:t>
            </w:r>
            <w:r>
              <w:rPr>
                <w:rFonts w:hint="eastAsia"/>
                <w:color w:val="auto"/>
                <w:sz w:val="24"/>
                <w:highlight w:val="none"/>
              </w:rPr>
              <w:t>：《中共中央关于坚持和完善中国特色社会主义制度 推进国家治理体系和治理能力现代化若干重大问题的决定》、中共中央办公厅 国务院办公厅印发《关于构建现代环境治理体系的指导意见》、中共中央办公厅 国务院办公厅印发《关于加强和改进乡村治理的指导意见、《中共中央国务院关于加强和完善城乡社区治理的意见》、《中共中央关于全面推进依法治国若干重大问题的决定》、《中共辽宁省委辽宁省人民政府关于稳步推进农村集体产权制度改革的实施意见》</w:t>
            </w:r>
          </w:p>
        </w:tc>
      </w:tr>
      <w:tr w14:paraId="25966A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60BBD6B8">
            <w:pPr>
              <w:pStyle w:val="8"/>
              <w:ind w:firstLine="480"/>
              <w:rPr>
                <w:color w:val="auto"/>
                <w:sz w:val="24"/>
                <w:highlight w:val="none"/>
              </w:rPr>
            </w:pPr>
            <w:r>
              <w:rPr>
                <w:color w:val="auto"/>
                <w:sz w:val="24"/>
                <w:highlight w:val="none"/>
              </w:rPr>
              <w:t>规划主题</w:t>
            </w:r>
            <w:r>
              <w:rPr>
                <w:rFonts w:hint="eastAsia"/>
                <w:color w:val="auto"/>
                <w:sz w:val="24"/>
                <w:highlight w:val="none"/>
              </w:rPr>
              <w:t>：全面深化改革，攻坚克难展现南芬担当</w:t>
            </w:r>
          </w:p>
        </w:tc>
      </w:tr>
      <w:tr w14:paraId="22B184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05AAD747">
            <w:pPr>
              <w:pStyle w:val="8"/>
              <w:ind w:firstLine="480"/>
              <w:rPr>
                <w:color w:val="auto"/>
                <w:sz w:val="24"/>
                <w:highlight w:val="none"/>
              </w:rPr>
            </w:pPr>
            <w:r>
              <w:rPr>
                <w:color w:val="auto"/>
                <w:sz w:val="24"/>
                <w:highlight w:val="none"/>
              </w:rPr>
              <w:t>规划领域</w:t>
            </w:r>
            <w:r>
              <w:rPr>
                <w:rFonts w:hint="eastAsia"/>
                <w:color w:val="auto"/>
                <w:sz w:val="24"/>
                <w:highlight w:val="none"/>
              </w:rPr>
              <w:t>：综合治理领域</w:t>
            </w:r>
          </w:p>
        </w:tc>
      </w:tr>
      <w:tr w14:paraId="6DBAD2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7AD8D545">
            <w:pPr>
              <w:pStyle w:val="8"/>
              <w:ind w:firstLine="480"/>
              <w:rPr>
                <w:color w:val="auto"/>
                <w:sz w:val="24"/>
                <w:highlight w:val="none"/>
              </w:rPr>
            </w:pPr>
            <w:r>
              <w:rPr>
                <w:color w:val="auto"/>
                <w:sz w:val="24"/>
                <w:highlight w:val="none"/>
              </w:rPr>
              <w:t>规划重点</w:t>
            </w:r>
            <w:r>
              <w:rPr>
                <w:rFonts w:hint="eastAsia"/>
                <w:color w:val="auto"/>
                <w:sz w:val="24"/>
                <w:highlight w:val="none"/>
              </w:rPr>
              <w:t>：体制改革、治理体系、法治社会</w:t>
            </w:r>
          </w:p>
        </w:tc>
      </w:tr>
    </w:tbl>
    <w:p w14:paraId="53384352">
      <w:pPr>
        <w:ind w:firstLine="560"/>
        <w:rPr>
          <w:color w:val="auto"/>
          <w:highlight w:val="none"/>
        </w:rPr>
      </w:pPr>
      <w:r>
        <w:rPr>
          <w:rFonts w:hint="eastAsia"/>
          <w:color w:val="auto"/>
          <w:highlight w:val="none"/>
        </w:rPr>
        <w:t>贯彻全面深化改革战略部署，坚持以供给侧结构性改革为主线，全面推进各领域各方面改革，不断提高治理体系和治理能力现代化水平，充分调动广大干部群众的参与社会治理的主动性和积极性，加强法治社会建设，打造“</w:t>
      </w:r>
      <w:r>
        <w:rPr>
          <w:rFonts w:hint="eastAsia"/>
          <w:b/>
          <w:color w:val="auto"/>
          <w:highlight w:val="none"/>
        </w:rPr>
        <w:t>深改革、强治理、推法治、提服务、促发展</w:t>
      </w:r>
      <w:r>
        <w:rPr>
          <w:rFonts w:hint="eastAsia"/>
          <w:color w:val="auto"/>
          <w:highlight w:val="none"/>
        </w:rPr>
        <w:t>”治理体系，全方位展现南芬攻坚克难的担当精神，打造</w:t>
      </w:r>
      <w:r>
        <w:rPr>
          <w:rFonts w:hint="eastAsia"/>
          <w:b/>
          <w:bCs/>
          <w:color w:val="auto"/>
          <w:highlight w:val="none"/>
        </w:rPr>
        <w:t>法治南芬</w:t>
      </w:r>
      <w:r>
        <w:rPr>
          <w:rFonts w:hint="eastAsia"/>
          <w:color w:val="auto"/>
          <w:highlight w:val="none"/>
        </w:rPr>
        <w:t>。</w:t>
      </w:r>
    </w:p>
    <w:p w14:paraId="5FD9A08A">
      <w:pPr>
        <w:pStyle w:val="4"/>
        <w:ind w:firstLine="643"/>
        <w:rPr>
          <w:color w:val="auto"/>
          <w:highlight w:val="none"/>
        </w:rPr>
      </w:pPr>
      <w:bookmarkStart w:id="44" w:name="_Toc55577889"/>
      <w:bookmarkStart w:id="45" w:name="_Toc143701989"/>
      <w:r>
        <w:rPr>
          <w:color w:val="auto"/>
          <w:highlight w:val="none"/>
        </w:rPr>
        <w:t>第一节</w:t>
      </w:r>
      <w:r>
        <w:rPr>
          <w:rFonts w:hint="eastAsia"/>
          <w:color w:val="auto"/>
          <w:highlight w:val="none"/>
        </w:rPr>
        <w:t xml:space="preserve"> 深化行政体制改革</w:t>
      </w:r>
      <w:bookmarkEnd w:id="44"/>
      <w:bookmarkEnd w:id="45"/>
    </w:p>
    <w:p w14:paraId="48CF75E5">
      <w:pPr>
        <w:ind w:firstLine="560"/>
        <w:rPr>
          <w:color w:val="auto"/>
          <w:highlight w:val="none"/>
        </w:rPr>
      </w:pPr>
      <w:r>
        <w:rPr>
          <w:rFonts w:hint="eastAsia"/>
          <w:color w:val="auto"/>
          <w:highlight w:val="none"/>
        </w:rPr>
        <w:t>1.深化重点领域改革</w:t>
      </w:r>
    </w:p>
    <w:p w14:paraId="54C04521">
      <w:pPr>
        <w:widowControl w:val="0"/>
        <w:spacing w:line="556" w:lineRule="exact"/>
        <w:ind w:firstLine="560"/>
        <w:rPr>
          <w:color w:val="auto"/>
          <w:highlight w:val="none"/>
        </w:rPr>
      </w:pPr>
      <w:r>
        <w:rPr>
          <w:rFonts w:hint="eastAsia" w:ascii="仿宋_GB2312" w:hAnsi="仿宋_GB2312" w:eastAsia="仿宋_GB2312" w:cs="仿宋_GB2312"/>
          <w:color w:val="auto"/>
          <w:szCs w:val="28"/>
          <w:highlight w:val="none"/>
        </w:rPr>
        <w:t>纵深推进重点领域改革，注重防范化解重大风险，更好激发改革创新活力和潜能，推动“营商环境提升年”、“重点改革突破年”协同发力，着力破除体制机制障碍，提升市场主体、人民群众的获得感和满意度。</w:t>
      </w:r>
      <w:r>
        <w:rPr>
          <w:rFonts w:hint="eastAsia"/>
          <w:color w:val="auto"/>
          <w:highlight w:val="none"/>
        </w:rPr>
        <w:t>实施国资国企改革。深化完善现代企业治理，推进重点企业制度改革。压实董事会职责，全面推行新型经营责任制。规范经理层管理。实行经理层任期制、契约化管理。实施国资监管效能提升工程，实现经营性国有资产统一监管。深化公共资源交易管理体制改革，聚焦交易工程招投标、政府资金采购领域突出问题，创新交易管理模式，构建我区规则统一、公开透明、服务高效、监督规范的公共资源招投标管理工作体制。深化调整党政机关和事业单位改革，按照中共中央国务院印发《党和国家机构改革方案》，统筹推进中央和地方党委、人大、政协、政府机构改革，在机构设置上更科学、职能配置上更优化、体制机制上更完善、运行管理上更高效。统筹做好事业单位改革“后半篇文章”，推进事业单位机构职能设定、人员转隶，不断提升基层治理水平和服务效能。</w:t>
      </w:r>
    </w:p>
    <w:p w14:paraId="05FA4C74">
      <w:pPr>
        <w:ind w:firstLine="560"/>
        <w:rPr>
          <w:color w:val="auto"/>
          <w:highlight w:val="none"/>
        </w:rPr>
      </w:pPr>
      <w:r>
        <w:rPr>
          <w:rFonts w:hint="eastAsia"/>
          <w:color w:val="auto"/>
          <w:highlight w:val="none"/>
        </w:rPr>
        <w:t>2.完善政务服务方式</w:t>
      </w:r>
    </w:p>
    <w:p w14:paraId="239656D9">
      <w:pPr>
        <w:ind w:firstLine="560"/>
        <w:rPr>
          <w:rFonts w:ascii="仿宋" w:hAnsi="仿宋" w:cs="仿宋"/>
          <w:color w:val="auto"/>
          <w:szCs w:val="28"/>
          <w:highlight w:val="none"/>
        </w:rPr>
      </w:pPr>
      <w:r>
        <w:rPr>
          <w:rFonts w:hint="eastAsia" w:ascii="仿宋" w:hAnsi="仿宋" w:cs="仿宋"/>
          <w:color w:val="auto"/>
          <w:szCs w:val="28"/>
          <w:highlight w:val="none"/>
        </w:rPr>
        <w:t>深入实施南芬经济开发区体制机制改革，剥离社会事务管理职能，创新人事、薪酬、考核等制度，实行“管委会+公司”运行模式，加快开发区由“政策洼地”转向“制度高地”，建立更优的运行机制，进一步激发经开区发展活力；</w:t>
      </w:r>
      <w:r>
        <w:rPr>
          <w:color w:val="auto"/>
          <w:highlight w:val="none"/>
        </w:rPr>
        <w:t>深化经济体制改革，加快完善现代市场体系，健全支持民营经济发展的法治环境和公平竞争环境，健全网络生态监管机制，持续深化“清朗”专项行动。</w:t>
      </w:r>
      <w:r>
        <w:rPr>
          <w:rFonts w:hint="eastAsia" w:ascii="仿宋" w:hAnsi="仿宋" w:cs="仿宋"/>
          <w:color w:val="auto"/>
          <w:szCs w:val="28"/>
          <w:highlight w:val="none"/>
        </w:rPr>
        <w:t>巩固深化医疗卫生体制机制改革成果，进一步优化医疗资源配置。实施街道卫生院（社区卫生服务中心）绩效工资改革，改善提高村医待遇。创建全国优质均衡发展示范县区，巩固集团化办学改革成果，加快优化全区教育资源配置，实施教师队伍管理体制机制改革，推动我区义务教育高质量发展。深化土地管理制度改革，优化产业用地供应方式，推动实现区、街建设用地使用权交易规范，探索集体建设土地交易机制，进一步提高节约集约用地水平。探索碳排放权交易机制。</w:t>
      </w:r>
    </w:p>
    <w:p w14:paraId="29F69C0B">
      <w:pPr>
        <w:ind w:firstLine="560"/>
        <w:rPr>
          <w:color w:val="auto"/>
          <w:highlight w:val="none"/>
        </w:rPr>
      </w:pPr>
      <w:r>
        <w:rPr>
          <w:rFonts w:hint="eastAsia"/>
          <w:color w:val="auto"/>
          <w:highlight w:val="none"/>
        </w:rPr>
        <w:t>3.要深化预算管理制度改革</w:t>
      </w:r>
    </w:p>
    <w:p w14:paraId="5F739639">
      <w:pPr>
        <w:ind w:firstLine="560"/>
        <w:rPr>
          <w:rFonts w:ascii="仿宋" w:hAnsi="仿宋" w:cs="仿宋"/>
          <w:color w:val="auto"/>
          <w:highlight w:val="none"/>
        </w:rPr>
      </w:pPr>
      <w:r>
        <w:rPr>
          <w:rFonts w:hint="eastAsia"/>
          <w:color w:val="auto"/>
          <w:highlight w:val="none"/>
        </w:rPr>
        <w:t>强化财税综合信息共享，动态掌握税源变化情况，加强对重点行业和重点企业的精准服务和监管，依法征税，应收尽收。充分发挥财政政策和资金导向作用，加大重点企业和重点项目支持力度，提升财政经济发展动力，着力培植财源，推动区域经济发展。要做优做强区属国有企业，增强内生动力，加强资本运作能力，优化国有资本运营和配置效率，使区属国有企业成为区财政投资融资的重要平台。探索政府国有平台以资源入股、资金入股和换股等方式与社会优质企业、</w:t>
      </w:r>
      <w:r>
        <w:rPr>
          <w:rFonts w:hint="eastAsia" w:ascii="仿宋" w:hAnsi="仿宋" w:cs="仿宋"/>
          <w:color w:val="auto"/>
          <w:highlight w:val="none"/>
        </w:rPr>
        <w:t>资本、科研机构共同发展新模式，培育创收新渠道。一般公共预算收入2024年完成3.2亿元，实现两年翻番；2025年达到3.46亿，年均增长29.8%。</w:t>
      </w:r>
    </w:p>
    <w:p w14:paraId="65639C51">
      <w:pPr>
        <w:pStyle w:val="6"/>
        <w:ind w:firstLine="560"/>
        <w:rPr>
          <w:color w:val="auto"/>
          <w:highlight w:val="none"/>
        </w:rPr>
      </w:pPr>
      <w:r>
        <w:rPr>
          <w:rFonts w:hint="eastAsia" w:ascii="仿宋" w:hAnsi="仿宋" w:cs="仿宋"/>
          <w:color w:val="auto"/>
          <w:highlight w:val="none"/>
        </w:rPr>
        <w:t>4.防范化解经济风险</w:t>
      </w:r>
    </w:p>
    <w:p w14:paraId="59F48C73">
      <w:pPr>
        <w:ind w:firstLine="560"/>
        <w:rPr>
          <w:color w:val="auto"/>
          <w:highlight w:val="none"/>
        </w:rPr>
      </w:pPr>
      <w:r>
        <w:rPr>
          <w:rFonts w:hint="eastAsia"/>
          <w:color w:val="auto"/>
          <w:highlight w:val="none"/>
        </w:rPr>
        <w:t>落实信贷、债券、股权扽融资支持政策，有效防范化解金融风险隐患，以稳健财政政策为指导，按照“责权利”和“借用还”相统一的原则，严格政府性债务管理，落实“一债一策”政府偿债工作机制，稳步推进政府法定债务和隐性债务合并监管，压实偿债主体责任，坚决遏制新增隐性债务，稳妥化解存量债务。提高防范和化解风险能力，力保按时偿还债务本息，避免违约事件发生，守住不发生系统性风险的底线。有效防范化解金融风险隐患，强力推进清收挽损工作，完成本溪银行和农信机构化险改革任务。</w:t>
      </w:r>
    </w:p>
    <w:p w14:paraId="2F4D2F65">
      <w:pPr>
        <w:pStyle w:val="6"/>
        <w:ind w:firstLine="560"/>
        <w:rPr>
          <w:rFonts w:ascii="仿宋" w:hAnsi="仿宋" w:cs="仿宋"/>
          <w:color w:val="auto"/>
          <w:szCs w:val="28"/>
          <w:highlight w:val="none"/>
        </w:rPr>
      </w:pPr>
      <w:r>
        <w:rPr>
          <w:rFonts w:hint="eastAsia" w:ascii="仿宋" w:hAnsi="仿宋" w:cs="仿宋"/>
          <w:color w:val="auto"/>
          <w:szCs w:val="28"/>
          <w:highlight w:val="none"/>
        </w:rPr>
        <w:t>巩固深化医疗卫生体制机制改革成果，进一步优化医疗资源配置。实施街道卫生院（社区卫生服务中心）绩效工资改革，改善提高村医待遇。创建全国优质均衡发展示范县区，巩固集团化办学改革成果，加快优化全区教育资源配置，实施教师队伍管理体制机制改革，推动我区义务教育高质量发展。深化土地管理制度改革，优化产业用地供应方式，推动实现区、街建设用地使用权交易规范，探索集体建设土地交易机制，进一步提高节约集约用地水平。探索碳排放权交易机制。</w:t>
      </w:r>
    </w:p>
    <w:p w14:paraId="635B7773">
      <w:pPr>
        <w:pStyle w:val="4"/>
        <w:ind w:firstLine="643"/>
        <w:rPr>
          <w:color w:val="auto"/>
          <w:highlight w:val="none"/>
        </w:rPr>
      </w:pPr>
      <w:bookmarkStart w:id="46" w:name="_Toc143701990"/>
      <w:bookmarkStart w:id="47" w:name="_Toc55577890"/>
      <w:r>
        <w:rPr>
          <w:color w:val="auto"/>
          <w:highlight w:val="none"/>
        </w:rPr>
        <w:t>第</w:t>
      </w:r>
      <w:r>
        <w:rPr>
          <w:rFonts w:hint="eastAsia"/>
          <w:color w:val="auto"/>
          <w:highlight w:val="none"/>
        </w:rPr>
        <w:t>二</w:t>
      </w:r>
      <w:r>
        <w:rPr>
          <w:color w:val="auto"/>
          <w:highlight w:val="none"/>
        </w:rPr>
        <w:t>节</w:t>
      </w:r>
      <w:r>
        <w:rPr>
          <w:rFonts w:hint="eastAsia"/>
          <w:color w:val="auto"/>
          <w:highlight w:val="none"/>
        </w:rPr>
        <w:t xml:space="preserve"> 加强治理体系建设</w:t>
      </w:r>
      <w:bookmarkEnd w:id="46"/>
      <w:bookmarkEnd w:id="47"/>
    </w:p>
    <w:p w14:paraId="21E13F11">
      <w:pPr>
        <w:ind w:firstLine="560"/>
        <w:rPr>
          <w:color w:val="auto"/>
          <w:highlight w:val="none"/>
        </w:rPr>
      </w:pPr>
      <w:r>
        <w:rPr>
          <w:rFonts w:hint="eastAsia"/>
          <w:color w:val="auto"/>
          <w:highlight w:val="none"/>
        </w:rPr>
        <w:t>1.提高社会治理水平</w:t>
      </w:r>
    </w:p>
    <w:p w14:paraId="4EA8B1EF">
      <w:pPr>
        <w:ind w:firstLine="560"/>
        <w:rPr>
          <w:color w:val="auto"/>
          <w:highlight w:val="none"/>
        </w:rPr>
      </w:pPr>
      <w:r>
        <w:rPr>
          <w:rFonts w:hint="eastAsia"/>
          <w:color w:val="auto"/>
          <w:highlight w:val="none"/>
        </w:rPr>
        <w:t>全面推进市域社会治理现代化试点工作，构建党委领导、政府主导、社会协同、公众参与、法治保障的社会治理体制，形成全民共建共享的社会治理格局。实现社会治理和自我调节、居民自治良性互动，通过引导基层组织、社会组织和公民个人有序参与社会事务，进一步提升群众自我管理、自我服务的水平，努力构建人人有责、人人尽责、人人享有的社会治理共同体。</w:t>
      </w:r>
    </w:p>
    <w:p w14:paraId="7F94BC5B">
      <w:pPr>
        <w:ind w:firstLine="560"/>
        <w:rPr>
          <w:color w:val="auto"/>
          <w:highlight w:val="none"/>
        </w:rPr>
      </w:pPr>
      <w:r>
        <w:rPr>
          <w:rFonts w:hint="eastAsia"/>
          <w:color w:val="auto"/>
          <w:highlight w:val="none"/>
        </w:rPr>
        <w:t>2.改进社会治理方式</w:t>
      </w:r>
    </w:p>
    <w:p w14:paraId="55D5D6E6">
      <w:pPr>
        <w:ind w:firstLine="560"/>
        <w:rPr>
          <w:color w:val="auto"/>
          <w:highlight w:val="none"/>
        </w:rPr>
      </w:pPr>
      <w:r>
        <w:rPr>
          <w:rFonts w:hint="eastAsia"/>
          <w:color w:val="auto"/>
          <w:highlight w:val="none"/>
        </w:rPr>
        <w:t>坚持系统治理、依法治理、综合治理、源头治理，加强社会治理法制保障，统筹推进基层社会管理体制改革，完善城乡社会管理体制，构建新型社区和村民自治管理体制。坚持和发展新时代“枫桥经验”，重点实施“五安工程”，全面构建“八大体系”。健全基层综合服务管理平台，推进基层管理网络化、基层服务社会化。</w:t>
      </w:r>
    </w:p>
    <w:p w14:paraId="6EA0AB0F">
      <w:pPr>
        <w:ind w:firstLine="560"/>
        <w:rPr>
          <w:color w:val="auto"/>
          <w:highlight w:val="none"/>
        </w:rPr>
      </w:pPr>
      <w:r>
        <w:rPr>
          <w:rFonts w:hint="eastAsia"/>
          <w:color w:val="auto"/>
          <w:highlight w:val="none"/>
        </w:rPr>
        <w:t>3.提高应急保障能力</w:t>
      </w:r>
    </w:p>
    <w:p w14:paraId="46641DB0">
      <w:pPr>
        <w:ind w:firstLine="560"/>
        <w:rPr>
          <w:color w:val="auto"/>
          <w:highlight w:val="none"/>
        </w:rPr>
      </w:pPr>
      <w:r>
        <w:rPr>
          <w:rFonts w:hint="eastAsia"/>
          <w:color w:val="auto"/>
          <w:highlight w:val="none"/>
        </w:rPr>
        <w:t>建设区、街道、社区（村组）包片负责、全民参与的安全生产应急管理体系。建立并完善应急平台功能，加强风险评估和监测预警。加强对重点行业领域的安全风险排查整治。强化应急预案衔接，建立应急预案响应联动机制。充分调动各方面力量，建设支援服务队伍。科学规划加强台风、山洪、强降雨、地震、火灾等各种灾害防御能力建设。建设智慧城市+应急管理综合保障体系，开展防灾救灾知识普及宣传活动。完善区域内消防设施，推进消防保障提升项目，切实提高消防救援水平。</w:t>
      </w:r>
    </w:p>
    <w:p w14:paraId="29BC29D1">
      <w:pPr>
        <w:ind w:firstLine="560"/>
        <w:rPr>
          <w:color w:val="auto"/>
          <w:highlight w:val="none"/>
        </w:rPr>
      </w:pPr>
      <w:r>
        <w:rPr>
          <w:rFonts w:hint="eastAsia"/>
          <w:color w:val="auto"/>
          <w:highlight w:val="none"/>
        </w:rPr>
        <w:t>4.推进平安南芬建设</w:t>
      </w:r>
    </w:p>
    <w:p w14:paraId="088870C9">
      <w:pPr>
        <w:ind w:firstLine="560"/>
        <w:rPr>
          <w:color w:val="auto"/>
          <w:highlight w:val="none"/>
        </w:rPr>
      </w:pPr>
      <w:r>
        <w:rPr>
          <w:rFonts w:hint="eastAsia"/>
          <w:color w:val="auto"/>
          <w:highlight w:val="none"/>
        </w:rPr>
        <w:t>坚持强基导向和问题导向，深化“五安工程”，积极推进区、街道、村（社区）三级社会治理综合服务中心和街道矛盾纠纷多元化解“一站式”平台建设。加强网格员队伍建设和管理，认真落实激励保障机制，构建基层社会治理新体系。统筹协调推进信访积案攻坚化解，坚持“三到位一处理”，及时就地解决群众合理诉求。依法严厉打击各类违法犯罪活动，打好社会治安防控整体战。常态化开展扫黑除恶工作。推动公共安全治理模式向事前预防转型。建设智慧城市</w:t>
      </w:r>
      <w:r>
        <w:rPr>
          <w:color w:val="auto"/>
          <w:highlight w:val="none"/>
        </w:rPr>
        <w:t>+应急管理综合保障体系，提高风险评估、监测预警和应急处置保障能力。落实安全生产责任制，健全风险隐患排</w:t>
      </w:r>
      <w:r>
        <w:rPr>
          <w:rFonts w:hint="eastAsia"/>
          <w:color w:val="auto"/>
          <w:highlight w:val="none"/>
        </w:rPr>
        <w:t>查整治机制，加强重点行业、重点领域安全监管，坚决防范遏制重特大生产安全事故发生。积极开展食品药品安全三年攻坚行动，食品抽检合格率达到国家标准，疫苗等高风险药品经营使用单位监督检查覆盖率达到</w:t>
      </w:r>
      <w:r>
        <w:rPr>
          <w:color w:val="auto"/>
          <w:highlight w:val="none"/>
        </w:rPr>
        <w:t>100%。</w:t>
      </w:r>
    </w:p>
    <w:p w14:paraId="7851EE68">
      <w:pPr>
        <w:ind w:firstLine="560"/>
        <w:rPr>
          <w:color w:val="auto"/>
          <w:highlight w:val="none"/>
        </w:rPr>
      </w:pPr>
      <w:r>
        <w:rPr>
          <w:rFonts w:hint="eastAsia"/>
          <w:color w:val="auto"/>
          <w:highlight w:val="none"/>
        </w:rPr>
        <w:t>5.完善国防动员机制</w:t>
      </w:r>
    </w:p>
    <w:p w14:paraId="475DE6F3">
      <w:pPr>
        <w:ind w:firstLine="560"/>
        <w:rPr>
          <w:color w:val="auto"/>
          <w:highlight w:val="none"/>
        </w:rPr>
      </w:pPr>
      <w:r>
        <w:rPr>
          <w:rFonts w:hint="eastAsia"/>
          <w:color w:val="auto"/>
          <w:highlight w:val="none"/>
        </w:rPr>
        <w:t>认真研究新形势下应急应战、国防动员建设的规律特点，健全国防动员体制机制，提升组织动员力、快速反应力、支援保障力和遂行应急应战任务能力。抓好民兵队伍建设和保障、征兵工作等。全面普及全民国防教育，增强全民国防意识。</w:t>
      </w:r>
    </w:p>
    <w:p w14:paraId="468161A2">
      <w:pPr>
        <w:pStyle w:val="4"/>
        <w:ind w:firstLine="643"/>
        <w:rPr>
          <w:color w:val="auto"/>
          <w:highlight w:val="none"/>
        </w:rPr>
      </w:pPr>
      <w:bookmarkStart w:id="48" w:name="_Toc143701991"/>
      <w:bookmarkStart w:id="49" w:name="_Toc55577891"/>
      <w:r>
        <w:rPr>
          <w:color w:val="auto"/>
          <w:highlight w:val="none"/>
        </w:rPr>
        <w:t>第</w:t>
      </w:r>
      <w:r>
        <w:rPr>
          <w:rFonts w:hint="eastAsia"/>
          <w:color w:val="auto"/>
          <w:highlight w:val="none"/>
        </w:rPr>
        <w:t>三</w:t>
      </w:r>
      <w:r>
        <w:rPr>
          <w:color w:val="auto"/>
          <w:highlight w:val="none"/>
        </w:rPr>
        <w:t>节</w:t>
      </w:r>
      <w:r>
        <w:rPr>
          <w:rFonts w:hint="eastAsia"/>
          <w:color w:val="auto"/>
          <w:highlight w:val="none"/>
        </w:rPr>
        <w:t xml:space="preserve"> 推进法治南芬建设</w:t>
      </w:r>
      <w:bookmarkEnd w:id="48"/>
      <w:bookmarkEnd w:id="49"/>
    </w:p>
    <w:p w14:paraId="2897DD74">
      <w:pPr>
        <w:ind w:firstLine="560"/>
        <w:rPr>
          <w:color w:val="auto"/>
          <w:highlight w:val="none"/>
        </w:rPr>
      </w:pPr>
      <w:r>
        <w:rPr>
          <w:rFonts w:hint="eastAsia"/>
          <w:color w:val="auto"/>
          <w:highlight w:val="none"/>
        </w:rPr>
        <w:t>1.强化领导干部制度意识</w:t>
      </w:r>
    </w:p>
    <w:p w14:paraId="0287F533">
      <w:pPr>
        <w:ind w:firstLine="560"/>
        <w:rPr>
          <w:color w:val="auto"/>
          <w:highlight w:val="none"/>
        </w:rPr>
      </w:pPr>
      <w:r>
        <w:rPr>
          <w:rFonts w:hint="eastAsia"/>
          <w:color w:val="auto"/>
          <w:highlight w:val="none"/>
        </w:rPr>
        <w:t>推进党政主要负责人履行法治建设第一责任人职责，贯彻落实党中央关于法治建设的重大决策部署，带头维护制度权威，应履行</w:t>
      </w:r>
      <w:r>
        <w:rPr>
          <w:color w:val="auto"/>
          <w:highlight w:val="none"/>
        </w:rPr>
        <w:t>重大行政决策合法性审查</w:t>
      </w:r>
      <w:r>
        <w:rPr>
          <w:rFonts w:hint="eastAsia"/>
          <w:color w:val="auto"/>
          <w:highlight w:val="none"/>
        </w:rPr>
        <w:t>，做制度执行的表率，统筹推进科学立法、严格执法、公正司法、全民守法，自觉运用法治思维和法治方式深化改革、推动发展、化解矛盾、维护稳定，把本地区各项工作纳入法治化轨道。</w:t>
      </w:r>
    </w:p>
    <w:p w14:paraId="6328F33F">
      <w:pPr>
        <w:ind w:firstLine="560"/>
        <w:rPr>
          <w:color w:val="auto"/>
          <w:highlight w:val="none"/>
        </w:rPr>
      </w:pPr>
      <w:r>
        <w:rPr>
          <w:rFonts w:hint="eastAsia"/>
          <w:color w:val="auto"/>
          <w:highlight w:val="none"/>
        </w:rPr>
        <w:t>2.推进法治政府建设</w:t>
      </w:r>
    </w:p>
    <w:p w14:paraId="532023FD">
      <w:pPr>
        <w:ind w:firstLine="560"/>
        <w:rPr>
          <w:color w:val="auto"/>
          <w:highlight w:val="none"/>
        </w:rPr>
      </w:pPr>
      <w:r>
        <w:rPr>
          <w:rFonts w:hint="eastAsia"/>
          <w:color w:val="auto"/>
          <w:highlight w:val="none"/>
        </w:rPr>
        <w:t>坚持正确政治方向，推进依法行政，实现职能科学、权责法定、执法严明、公开公正、廉洁高效、守法诚信。依法履行政府职能，完善依法决策机制，健全政府重大行政决策法定程序。加强行政组织和行政程序建设，坚持职权法定，依法全面履行政府职能。完善监督体制机制，推进审计监督全覆盖；加快推进反腐败体制机制改革，全面落实</w:t>
      </w:r>
      <w:r>
        <w:rPr>
          <w:rFonts w:hint="eastAsia"/>
          <w:color w:val="auto"/>
          <w:highlight w:val="none"/>
          <w:lang w:eastAsia="zh-CN"/>
        </w:rPr>
        <w:t>党风廉政建设责任制</w:t>
      </w:r>
      <w:r>
        <w:rPr>
          <w:rFonts w:hint="eastAsia"/>
          <w:color w:val="auto"/>
          <w:highlight w:val="none"/>
        </w:rPr>
        <w:t>和“一岗双责”；强化监督执纪问责，完善倒查追责机制，健全作风建设长效机制。</w:t>
      </w:r>
    </w:p>
    <w:p w14:paraId="5AB36772">
      <w:pPr>
        <w:ind w:firstLine="560"/>
        <w:rPr>
          <w:color w:val="auto"/>
          <w:highlight w:val="none"/>
        </w:rPr>
      </w:pPr>
      <w:r>
        <w:rPr>
          <w:rFonts w:hint="eastAsia"/>
          <w:color w:val="auto"/>
          <w:highlight w:val="none"/>
        </w:rPr>
        <w:t>3.提升公共法律服务水平</w:t>
      </w:r>
    </w:p>
    <w:p w14:paraId="34EAF0A6">
      <w:pPr>
        <w:ind w:firstLine="560"/>
        <w:rPr>
          <w:color w:val="auto"/>
          <w:highlight w:val="none"/>
        </w:rPr>
      </w:pPr>
      <w:r>
        <w:rPr>
          <w:rFonts w:hint="eastAsia"/>
          <w:color w:val="auto"/>
          <w:highlight w:val="none"/>
        </w:rPr>
        <w:t>有效整合公共法律服务资源，大力拓展公共法律服务领域，加快建立健全符合区情、覆盖城乡、便捷高效、均等普惠的公共法律服务体系。完善矛盾纠纷多元化解机制，街道100%建立个人调解室，村（社区）100%设立“村（居）民评理说事点”。</w:t>
      </w:r>
    </w:p>
    <w:p w14:paraId="1B5802D8">
      <w:pPr>
        <w:ind w:firstLine="560"/>
        <w:rPr>
          <w:color w:val="auto"/>
          <w:highlight w:val="none"/>
        </w:rPr>
      </w:pPr>
      <w:r>
        <w:rPr>
          <w:rFonts w:hint="eastAsia"/>
          <w:color w:val="auto"/>
          <w:highlight w:val="none"/>
        </w:rPr>
        <w:t>4.加强法治监督体制机制</w:t>
      </w:r>
    </w:p>
    <w:p w14:paraId="586EAC7D">
      <w:pPr>
        <w:ind w:firstLine="560"/>
        <w:rPr>
          <w:color w:val="auto"/>
          <w:highlight w:val="none"/>
        </w:rPr>
      </w:pPr>
      <w:r>
        <w:rPr>
          <w:rFonts w:hint="eastAsia"/>
          <w:color w:val="auto"/>
          <w:highlight w:val="none"/>
        </w:rPr>
        <w:t>完善党内监督体制机制，健全党委定期听取人大机关、行政机关、监察机关、审判机关、检察机关汇报工作机制。</w:t>
      </w:r>
    </w:p>
    <w:p w14:paraId="4953EC26">
      <w:pPr>
        <w:ind w:firstLine="560"/>
        <w:rPr>
          <w:color w:val="auto"/>
          <w:highlight w:val="none"/>
        </w:rPr>
      </w:pPr>
      <w:r>
        <w:rPr>
          <w:rFonts w:hint="eastAsia"/>
          <w:color w:val="auto"/>
          <w:highlight w:val="none"/>
        </w:rPr>
        <w:br w:type="page"/>
      </w:r>
    </w:p>
    <w:p w14:paraId="1DCB86FC">
      <w:pPr>
        <w:pStyle w:val="3"/>
        <w:ind w:firstLine="643"/>
        <w:rPr>
          <w:color w:val="auto"/>
          <w:highlight w:val="none"/>
        </w:rPr>
      </w:pPr>
      <w:bookmarkStart w:id="50" w:name="_Toc143701992"/>
      <w:r>
        <w:rPr>
          <w:rFonts w:hint="eastAsia"/>
          <w:color w:val="auto"/>
          <w:highlight w:val="none"/>
        </w:rPr>
        <w:t>第十一章 规划保障篇</w:t>
      </w:r>
      <w:bookmarkEnd w:id="50"/>
    </w:p>
    <w:p w14:paraId="6BBB5613">
      <w:pPr>
        <w:ind w:firstLine="560"/>
        <w:rPr>
          <w:color w:val="auto"/>
          <w:highlight w:val="none"/>
        </w:rPr>
      </w:pPr>
      <w:r>
        <w:rPr>
          <w:color w:val="auto"/>
          <w:highlight w:val="none"/>
        </w:rPr>
        <w:t>本规划纲要经</w:t>
      </w:r>
      <w:r>
        <w:rPr>
          <w:rFonts w:hint="eastAsia"/>
          <w:color w:val="auto"/>
          <w:highlight w:val="none"/>
        </w:rPr>
        <w:t>区</w:t>
      </w:r>
      <w:r>
        <w:rPr>
          <w:color w:val="auto"/>
          <w:highlight w:val="none"/>
        </w:rPr>
        <w:t>第</w:t>
      </w:r>
      <w:r>
        <w:rPr>
          <w:rFonts w:hint="eastAsia"/>
          <w:color w:val="auto"/>
          <w:highlight w:val="none"/>
        </w:rPr>
        <w:t>九</w:t>
      </w:r>
      <w:r>
        <w:rPr>
          <w:color w:val="auto"/>
          <w:highlight w:val="none"/>
        </w:rPr>
        <w:t>届人民代表大会第</w:t>
      </w:r>
      <w:r>
        <w:rPr>
          <w:rFonts w:hint="eastAsia"/>
          <w:color w:val="auto"/>
          <w:highlight w:val="none"/>
        </w:rPr>
        <w:t>四</w:t>
      </w:r>
      <w:r>
        <w:rPr>
          <w:color w:val="auto"/>
          <w:highlight w:val="none"/>
        </w:rPr>
        <w:t>次</w:t>
      </w:r>
      <w:r>
        <w:rPr>
          <w:rFonts w:hint="eastAsia"/>
          <w:color w:val="auto"/>
          <w:highlight w:val="none"/>
        </w:rPr>
        <w:t>全体</w:t>
      </w:r>
      <w:r>
        <w:rPr>
          <w:color w:val="auto"/>
          <w:highlight w:val="none"/>
        </w:rPr>
        <w:t>会议批准，将作为</w:t>
      </w:r>
      <w:r>
        <w:rPr>
          <w:rFonts w:hint="eastAsia"/>
          <w:color w:val="auto"/>
          <w:highlight w:val="none"/>
        </w:rPr>
        <w:t>南芬区</w:t>
      </w:r>
      <w:r>
        <w:rPr>
          <w:color w:val="auto"/>
          <w:highlight w:val="none"/>
        </w:rPr>
        <w:t>人民共同奋斗的行动纲领。为实现未来五年发展目标，必须进一步改革创新，不断完善规划实施机制，持续加强</w:t>
      </w:r>
      <w:r>
        <w:rPr>
          <w:rFonts w:hint="eastAsia"/>
          <w:color w:val="auto"/>
          <w:highlight w:val="none"/>
        </w:rPr>
        <w:t>党的全面领导和</w:t>
      </w:r>
      <w:r>
        <w:rPr>
          <w:color w:val="auto"/>
          <w:highlight w:val="none"/>
        </w:rPr>
        <w:t>政府自身建设，动员和引导全社会力量共同推进规划落实。</w:t>
      </w:r>
    </w:p>
    <w:p w14:paraId="3C0DBFDC">
      <w:pPr>
        <w:pStyle w:val="4"/>
        <w:ind w:firstLine="643"/>
        <w:rPr>
          <w:color w:val="auto"/>
          <w:highlight w:val="none"/>
        </w:rPr>
      </w:pPr>
      <w:bookmarkStart w:id="51" w:name="_Toc143701993"/>
      <w:r>
        <w:rPr>
          <w:rFonts w:hint="eastAsia"/>
          <w:color w:val="auto"/>
          <w:highlight w:val="none"/>
        </w:rPr>
        <w:t>第一节 加强党的全面领导 以高质量党建引领高质量发展</w:t>
      </w:r>
      <w:bookmarkEnd w:id="51"/>
    </w:p>
    <w:p w14:paraId="48CA5F14">
      <w:pPr>
        <w:ind w:firstLine="560"/>
        <w:rPr>
          <w:color w:val="auto"/>
          <w:highlight w:val="none"/>
        </w:rPr>
      </w:pPr>
      <w:r>
        <w:rPr>
          <w:color w:val="auto"/>
          <w:highlight w:val="none"/>
        </w:rPr>
        <w:t>加强党的全面领导，是南芬实现高质量发展的根本保证，要筑牢党建基石，牢牢把握管党治党的目标路径，</w:t>
      </w:r>
      <w:r>
        <w:rPr>
          <w:rFonts w:hint="eastAsia"/>
          <w:color w:val="auto"/>
          <w:highlight w:val="none"/>
        </w:rPr>
        <w:t>充分发挥区委总揽全局、协调各方的领导作用，坚持把党的领导贯穿“十四五”规划全过程，充分发挥党委把方向、管大局、作决策、保落实的重要作用。强化党建聚势赋能，着力增强党组织政治功能和组织功能，充分发挥基层党组织战斗堡垒作用和党员先锋模范作用，充分调动全社会参与的积极性、主动性、创造性，坚持高质量发展和全面从严治党两手抓、两手硬，持续净化政治生态，以高质量党建引领高质量发展。</w:t>
      </w:r>
    </w:p>
    <w:p w14:paraId="458FF315">
      <w:pPr>
        <w:ind w:firstLine="560"/>
        <w:rPr>
          <w:color w:val="auto"/>
          <w:highlight w:val="none"/>
        </w:rPr>
      </w:pPr>
      <w:r>
        <w:rPr>
          <w:color w:val="auto"/>
          <w:highlight w:val="none"/>
        </w:rPr>
        <w:t>1.增强“高站位”政治意识</w:t>
      </w:r>
    </w:p>
    <w:p w14:paraId="204DBE05">
      <w:pPr>
        <w:ind w:firstLine="560"/>
        <w:rPr>
          <w:color w:val="auto"/>
          <w:highlight w:val="none"/>
        </w:rPr>
      </w:pPr>
      <w:r>
        <w:rPr>
          <w:color w:val="auto"/>
          <w:highlight w:val="none"/>
        </w:rPr>
        <w:t>切实增强“四个意识”、坚定“四个自信”、做到“两个维护”，始终同以习近平同志为核心的党中央保持高度一致。坚持党对一切工作的领导，始终把党的政治建设摆在首要位置，把正确政治方向贯彻到谋划重大战略、制定重大政策、部署重大任务、推进重大工作的实践中去，经常对标对表、及时校准偏差，确保经济社会发展始终走在正确道路上。始终坚持以人民为中心，把党章作为最核心的行为遵循，把政治纪律和政治规矩视为最严格的约束，把排除万难勇于</w:t>
      </w:r>
      <w:r>
        <w:rPr>
          <w:rFonts w:hint="eastAsia"/>
          <w:color w:val="auto"/>
          <w:highlight w:val="none"/>
        </w:rPr>
        <w:t>争胜</w:t>
      </w:r>
      <w:r>
        <w:rPr>
          <w:color w:val="auto"/>
          <w:highlight w:val="none"/>
        </w:rPr>
        <w:t>当作最现实的担当。充分发挥各级党委（党组）领导核心作用，为地区振兴发展航船定好向，掌好舵，锤炼忠诚干净担当的政治品格，发扬斗争精神、提高斗争本领，把初心和使命落实到本职岗位上、一言一行中。</w:t>
      </w:r>
    </w:p>
    <w:p w14:paraId="38666F2E">
      <w:pPr>
        <w:ind w:firstLine="560"/>
        <w:rPr>
          <w:color w:val="auto"/>
          <w:highlight w:val="none"/>
        </w:rPr>
      </w:pPr>
      <w:r>
        <w:rPr>
          <w:color w:val="auto"/>
          <w:highlight w:val="none"/>
        </w:rPr>
        <w:t>2.严格“高质量”政治生活</w:t>
      </w:r>
    </w:p>
    <w:p w14:paraId="1CFB0526">
      <w:pPr>
        <w:ind w:firstLine="560"/>
        <w:rPr>
          <w:color w:val="auto"/>
          <w:highlight w:val="none"/>
        </w:rPr>
      </w:pPr>
      <w:r>
        <w:rPr>
          <w:color w:val="auto"/>
          <w:highlight w:val="none"/>
        </w:rPr>
        <w:t>坚决扛起抓好意识形态工作的政治责任，坚持发扬理论联系实际的马克思主义学风</w:t>
      </w:r>
      <w:r>
        <w:rPr>
          <w:rFonts w:hint="eastAsia"/>
          <w:color w:val="auto"/>
          <w:highlight w:val="none"/>
        </w:rPr>
        <w:t>。</w:t>
      </w:r>
      <w:r>
        <w:rPr>
          <w:color w:val="auto"/>
          <w:highlight w:val="none"/>
        </w:rPr>
        <w:t>坚持思想建党、理论强党，进一步学懂弄通习近平新时代中国特色社会主义思想的核心要义、精神实质、丰富内涵、实践要求，准确把握其时代意义、理论意义、实践意义，教育引导党员干部自觉运用党的创新理论武装头脑、指导实践、推动工作</w:t>
      </w:r>
      <w:r>
        <w:rPr>
          <w:rFonts w:hint="eastAsia"/>
          <w:color w:val="auto"/>
          <w:highlight w:val="none"/>
        </w:rPr>
        <w:t>。</w:t>
      </w:r>
      <w:r>
        <w:rPr>
          <w:color w:val="auto"/>
          <w:highlight w:val="none"/>
        </w:rPr>
        <w:t>要严格规范组织生活，强化政治思想教育内容，认真贯彻“三会一课”制度、民主生活会和组织生活会制度、谈心谈话制度、民主评议制度，坚持和发扬实事求是、理论联系实际、密切联系群众、开展批评和自我批评、坚持民主集中制等优良传统。</w:t>
      </w:r>
    </w:p>
    <w:p w14:paraId="783CAA21">
      <w:pPr>
        <w:ind w:firstLine="560"/>
        <w:rPr>
          <w:color w:val="auto"/>
          <w:highlight w:val="none"/>
        </w:rPr>
      </w:pPr>
      <w:r>
        <w:rPr>
          <w:color w:val="auto"/>
          <w:highlight w:val="none"/>
        </w:rPr>
        <w:t>3.建设“高素质”干部队伍</w:t>
      </w:r>
    </w:p>
    <w:p w14:paraId="21B9BF50">
      <w:pPr>
        <w:ind w:firstLine="560"/>
        <w:rPr>
          <w:color w:val="auto"/>
          <w:highlight w:val="none"/>
        </w:rPr>
      </w:pPr>
      <w:r>
        <w:rPr>
          <w:color w:val="auto"/>
          <w:highlight w:val="none"/>
        </w:rPr>
        <w:t>坚持党管干部原则，自觉践行新时代党的组织路线，健全素质培养体系、知事识人体系、选拔任用体系、从严管理体系和正向激励体系，全力锻造忠诚干净担当的高素质专业化干部队伍。紧紧抓住领导干部这一“关键少数”，牢固树立正确的选人用人导向，坚持“好干部”标准，坚持德才兼备、以德为先，全面深化干部人事制度改革，进一步完善政绩考核工作制度，建立差别化、合理化的考评体系</w:t>
      </w:r>
      <w:r>
        <w:rPr>
          <w:rFonts w:hint="eastAsia"/>
          <w:color w:val="auto"/>
          <w:highlight w:val="none"/>
        </w:rPr>
        <w:t>。着力在强化党员干部的能力培训和实践锻炼上下功夫，积极探索提升党员干部能力素质的方法途径，择优选派机关干部到项目建设、脱贫攻坚、环境整治、服务民生等基层一线和重要岗位实践锻炼，丰富工作经验，强化处理复杂问题和急难险重任务能力，全面提升服务群众水平。</w:t>
      </w:r>
      <w:r>
        <w:rPr>
          <w:color w:val="auto"/>
          <w:highlight w:val="none"/>
        </w:rPr>
        <w:t>深入开展年轻干部培养选拔工作，选派优秀年轻干部到江苏泰州等先进地区、新疆托里以及基层一线挂职，培养锻炼年轻干部。深化人才发展体制机制改革，加强行业高层次人才队伍建设。</w:t>
      </w:r>
    </w:p>
    <w:p w14:paraId="70B4EAA3">
      <w:pPr>
        <w:ind w:firstLine="560"/>
        <w:rPr>
          <w:color w:val="auto"/>
          <w:highlight w:val="none"/>
        </w:rPr>
      </w:pPr>
      <w:r>
        <w:rPr>
          <w:color w:val="auto"/>
          <w:highlight w:val="none"/>
        </w:rPr>
        <w:t>4.聚力“高标准”基层党建</w:t>
      </w:r>
    </w:p>
    <w:p w14:paraId="01932752">
      <w:pPr>
        <w:ind w:firstLine="560"/>
        <w:rPr>
          <w:color w:val="auto"/>
          <w:highlight w:val="none"/>
        </w:rPr>
      </w:pPr>
      <w:r>
        <w:rPr>
          <w:rFonts w:hint="eastAsia"/>
          <w:color w:val="auto"/>
          <w:highlight w:val="none"/>
        </w:rPr>
        <w:t>党的基层组织是推动高质量发展坚实基础,要紧紧牵住提升组织力这个“牛鼻子”，把抓基层打基础作为长远之计和固本之策，树立一切工作到支部的鲜明导向，把党建工作与服务地区战略、服务经济社会发展大局、服务基层群众有机统一起来，推动党的建设与中心工作深度融合、与改革发展有机衔接，切实把组织资源转化为发展资源、组织优势转化为发展优势，为高质量发展奠定坚实组织根基。抓好“党群一张网、服务叫得响”党建引领基层社会治理创新，重点发展壮大村级集体经济，实施以党建引领为主导的党群创业振兴乡村计划，全面提升村级党组织致富带富能力。挖掘本地资源优势，深化农业供给侧改革，着力培育群众致富产业，切实解决产业带动能力弱问题。充分发挥村、社区党支部在人居环境整治、推进乡风文明中的政治优势和组织功能，引导基层党员全面参与人居环境改善活动，在推动生态文明建设中发挥引领带动作用。持续扩大“两新”组织“两个覆盖”，指导已建立、新建立的党组织规范运行制度、创新活动载体，不断发挥党组织和党员“两个作用”。牢固树立大抓基层、大抓支部鲜明导向，以标准化建设为抓手，全面加强各领域基层党建工作，着力增强基层党组织政治功能和组织力，推动南芬基层党建实现“全领域建强、全区域提升”。</w:t>
      </w:r>
    </w:p>
    <w:p w14:paraId="49D800E4">
      <w:pPr>
        <w:ind w:firstLine="560"/>
        <w:rPr>
          <w:color w:val="auto"/>
          <w:highlight w:val="none"/>
        </w:rPr>
      </w:pPr>
      <w:r>
        <w:rPr>
          <w:color w:val="auto"/>
          <w:highlight w:val="none"/>
        </w:rPr>
        <w:t>5.打造“高水平”廉政生态</w:t>
      </w:r>
    </w:p>
    <w:p w14:paraId="458CF37C">
      <w:pPr>
        <w:ind w:firstLine="560"/>
        <w:rPr>
          <w:color w:val="auto"/>
          <w:highlight w:val="none"/>
        </w:rPr>
      </w:pPr>
      <w:r>
        <w:rPr>
          <w:color w:val="auto"/>
          <w:highlight w:val="none"/>
        </w:rPr>
        <w:t>各级党组织扛稳压实全面从严治党的主体责任，各级党委(党组)书记严格落实管党治党的政治责任，各级纪检监察机关依法依纪履行职责。坚持“三个区分来”，注重运用“四种形态”。</w:t>
      </w:r>
      <w:r>
        <w:rPr>
          <w:rFonts w:hint="eastAsia"/>
          <w:color w:val="auto"/>
          <w:highlight w:val="none"/>
          <w:lang w:eastAsia="zh-CN"/>
        </w:rPr>
        <w:t>落实全面从严治党</w:t>
      </w:r>
      <w:r>
        <w:rPr>
          <w:color w:val="auto"/>
          <w:highlight w:val="none"/>
        </w:rPr>
        <w:t>“四责协同”机制，完善领导班子内部监督制度，紧盯“关键少数”、关键岗位，破解对“一把手”监督和同级监督难题。紧盯权力运行各个环节，探索建立权力运行可查询、可追溯的反馈机制。进一步推进“清廉南芬”建设，健全完善各级党组织管党治党责任体系、权力运行监督体系、防范腐败制度体系、清廉文化教育体系。持续深化以案促改，强化标本兼治，堵塞制度漏洞，开展典型案例警示教育，构建一体推进“三不”体制机制。充分发挥监督保障执行、促进完善发展作用，从严查处违反中央八项规定问题，大力整治形式主义、官僚主义，为落实规划营造良好政治生态和发展环境。</w:t>
      </w:r>
    </w:p>
    <w:p w14:paraId="6CDCC2AC">
      <w:pPr>
        <w:ind w:firstLine="560"/>
        <w:rPr>
          <w:color w:val="auto"/>
          <w:highlight w:val="none"/>
        </w:rPr>
      </w:pPr>
      <w:r>
        <w:rPr>
          <w:color w:val="auto"/>
          <w:highlight w:val="none"/>
        </w:rPr>
        <w:t>6.狠抓“高效能”工作落实</w:t>
      </w:r>
    </w:p>
    <w:p w14:paraId="0BB2A133">
      <w:pPr>
        <w:ind w:firstLine="560"/>
        <w:rPr>
          <w:color w:val="auto"/>
          <w:highlight w:val="none"/>
        </w:rPr>
      </w:pPr>
      <w:r>
        <w:rPr>
          <w:rFonts w:hint="eastAsia"/>
          <w:color w:val="auto"/>
          <w:highlight w:val="none"/>
        </w:rPr>
        <w:t>区</w:t>
      </w:r>
      <w:r>
        <w:rPr>
          <w:color w:val="auto"/>
          <w:highlight w:val="none"/>
        </w:rPr>
        <w:t>委、</w:t>
      </w:r>
      <w:r>
        <w:rPr>
          <w:rFonts w:hint="eastAsia"/>
          <w:color w:val="auto"/>
          <w:highlight w:val="none"/>
        </w:rPr>
        <w:t>区</w:t>
      </w:r>
      <w:r>
        <w:rPr>
          <w:color w:val="auto"/>
          <w:highlight w:val="none"/>
        </w:rPr>
        <w:t>政府要带领全</w:t>
      </w:r>
      <w:r>
        <w:rPr>
          <w:rFonts w:hint="eastAsia"/>
          <w:color w:val="auto"/>
          <w:highlight w:val="none"/>
        </w:rPr>
        <w:t>区</w:t>
      </w:r>
      <w:r>
        <w:rPr>
          <w:color w:val="auto"/>
          <w:highlight w:val="none"/>
        </w:rPr>
        <w:t>上下强化政治意识、着眼发展大局、聚焦目标任务，以党建引领高质量发展不动摇</w:t>
      </w:r>
      <w:r>
        <w:rPr>
          <w:rFonts w:hint="eastAsia"/>
          <w:color w:val="auto"/>
          <w:highlight w:val="none"/>
        </w:rPr>
        <w:t>。区</w:t>
      </w:r>
      <w:r>
        <w:rPr>
          <w:color w:val="auto"/>
          <w:highlight w:val="none"/>
        </w:rPr>
        <w:t>人大要履行监督职能，人大代表要充分发挥为民代言作用，积极建言献策。</w:t>
      </w:r>
      <w:r>
        <w:rPr>
          <w:rFonts w:hint="eastAsia"/>
          <w:color w:val="auto"/>
          <w:highlight w:val="none"/>
        </w:rPr>
        <w:t>区</w:t>
      </w:r>
      <w:r>
        <w:rPr>
          <w:color w:val="auto"/>
          <w:highlight w:val="none"/>
        </w:rPr>
        <w:t>政协要履行民主监督职能，政协委员要密切联系群众，及时反映群众愿望和诉求。统战部要团结带领民主党派成员等统战对象，积极投身</w:t>
      </w:r>
      <w:r>
        <w:rPr>
          <w:rFonts w:hint="eastAsia"/>
          <w:color w:val="auto"/>
          <w:highlight w:val="none"/>
        </w:rPr>
        <w:t>南芬振兴发展</w:t>
      </w:r>
      <w:r>
        <w:rPr>
          <w:color w:val="auto"/>
          <w:highlight w:val="none"/>
        </w:rPr>
        <w:t>。工会、共青团、妇联</w:t>
      </w:r>
      <w:r>
        <w:rPr>
          <w:rFonts w:hint="eastAsia"/>
          <w:color w:val="auto"/>
          <w:highlight w:val="none"/>
        </w:rPr>
        <w:t>、残联</w:t>
      </w:r>
      <w:r>
        <w:rPr>
          <w:color w:val="auto"/>
          <w:highlight w:val="none"/>
        </w:rPr>
        <w:t>等群团组织要更好地发挥联系群众、服务群众、动员群众的作用，引导全民参与</w:t>
      </w:r>
      <w:r>
        <w:rPr>
          <w:rFonts w:hint="eastAsia"/>
          <w:color w:val="auto"/>
          <w:highlight w:val="none"/>
        </w:rPr>
        <w:t>南芬</w:t>
      </w:r>
      <w:r>
        <w:rPr>
          <w:color w:val="auto"/>
          <w:highlight w:val="none"/>
        </w:rPr>
        <w:t>建设发展。增强狠抓落实本领，坚持说实话、谋实事、出实招、求实效</w:t>
      </w:r>
      <w:r>
        <w:rPr>
          <w:rFonts w:hint="eastAsia"/>
          <w:color w:val="auto"/>
          <w:highlight w:val="none"/>
        </w:rPr>
        <w:t>。</w:t>
      </w:r>
      <w:r>
        <w:rPr>
          <w:color w:val="auto"/>
          <w:highlight w:val="none"/>
        </w:rPr>
        <w:t>规划纲要提出的发展目标、重点任务和重大工程项目，</w:t>
      </w:r>
      <w:r>
        <w:rPr>
          <w:rFonts w:hint="eastAsia"/>
          <w:color w:val="auto"/>
          <w:highlight w:val="none"/>
        </w:rPr>
        <w:t>区</w:t>
      </w:r>
      <w:r>
        <w:rPr>
          <w:color w:val="auto"/>
          <w:highlight w:val="none"/>
        </w:rPr>
        <w:t>政府将逐条逐项分解落实到各</w:t>
      </w:r>
      <w:r>
        <w:rPr>
          <w:rFonts w:hint="eastAsia"/>
          <w:color w:val="auto"/>
          <w:highlight w:val="none"/>
        </w:rPr>
        <w:t>街道</w:t>
      </w:r>
      <w:r>
        <w:rPr>
          <w:color w:val="auto"/>
          <w:highlight w:val="none"/>
        </w:rPr>
        <w:t>、各部门，并明确牵头单位、责任单位和完成时限，确保目标任务如期完成。建立</w:t>
      </w:r>
      <w:r>
        <w:rPr>
          <w:rFonts w:hint="eastAsia"/>
          <w:color w:val="auto"/>
          <w:highlight w:val="none"/>
        </w:rPr>
        <w:t>南芬区</w:t>
      </w:r>
      <w:r>
        <w:rPr>
          <w:color w:val="auto"/>
          <w:highlight w:val="none"/>
        </w:rPr>
        <w:t>中长期项目库，实行重大项目滚动推进机制，在产业发展、生态文明、基础设施、社会民生等重点领域，精心谋划、多措并举推进项目建设，扩大有效投资，为经济社会发展提供有力支撑。</w:t>
      </w:r>
    </w:p>
    <w:p w14:paraId="0C5D7E44">
      <w:pPr>
        <w:pStyle w:val="4"/>
        <w:ind w:firstLine="643"/>
        <w:rPr>
          <w:color w:val="auto"/>
          <w:highlight w:val="none"/>
        </w:rPr>
      </w:pPr>
      <w:bookmarkStart w:id="52" w:name="_Toc143701994"/>
      <w:r>
        <w:rPr>
          <w:color w:val="auto"/>
          <w:highlight w:val="none"/>
        </w:rPr>
        <w:t>第</w:t>
      </w:r>
      <w:r>
        <w:rPr>
          <w:rFonts w:hint="eastAsia"/>
          <w:color w:val="auto"/>
          <w:highlight w:val="none"/>
        </w:rPr>
        <w:t>二</w:t>
      </w:r>
      <w:r>
        <w:rPr>
          <w:color w:val="auto"/>
          <w:highlight w:val="none"/>
        </w:rPr>
        <w:t>节</w:t>
      </w:r>
      <w:r>
        <w:rPr>
          <w:rFonts w:hint="eastAsia"/>
          <w:color w:val="auto"/>
          <w:highlight w:val="none"/>
        </w:rPr>
        <w:t xml:space="preserve"> 推进规划全面落实 以高标准执行确保取得高实效</w:t>
      </w:r>
      <w:bookmarkEnd w:id="52"/>
    </w:p>
    <w:p w14:paraId="4EFFC35F">
      <w:pPr>
        <w:ind w:firstLine="560"/>
        <w:rPr>
          <w:color w:val="auto"/>
          <w:highlight w:val="none"/>
        </w:rPr>
      </w:pPr>
      <w:r>
        <w:rPr>
          <w:color w:val="auto"/>
          <w:highlight w:val="none"/>
        </w:rPr>
        <w:t>1.</w:t>
      </w:r>
      <w:r>
        <w:rPr>
          <w:rFonts w:hint="eastAsia"/>
          <w:color w:val="auto"/>
          <w:highlight w:val="none"/>
        </w:rPr>
        <w:t>加强规划统筹</w:t>
      </w:r>
    </w:p>
    <w:p w14:paraId="0C847F5B">
      <w:pPr>
        <w:ind w:firstLine="560"/>
        <w:rPr>
          <w:color w:val="auto"/>
          <w:highlight w:val="none"/>
        </w:rPr>
      </w:pPr>
      <w:r>
        <w:rPr>
          <w:rFonts w:hint="eastAsia"/>
          <w:color w:val="auto"/>
          <w:highlight w:val="none"/>
        </w:rPr>
        <w:t>南芬区成立“十四五”规划实施领导小组及办公室，党员干部要提高政治站位，勇担工作重任，统筹负责“十四五”规划的组织实施。南芬区各部门和乡镇要成立相应机构，将规划纲要确定的相关任务纳入本部门、本地区年度计划。各级各部门要互相协调，密切配合，制定具体实施方案和专项规划。按照专项发展规划服从总体发展规划原则，做到城乡建设、土地、生态环境等规划与经济社会发展规划的“多规融合”。建立健全年度计划实施机制，发挥规划的整体合力。</w:t>
      </w:r>
    </w:p>
    <w:p w14:paraId="4329EC97">
      <w:pPr>
        <w:ind w:firstLine="560"/>
        <w:rPr>
          <w:color w:val="auto"/>
          <w:highlight w:val="none"/>
        </w:rPr>
      </w:pPr>
      <w:r>
        <w:rPr>
          <w:color w:val="auto"/>
          <w:highlight w:val="none"/>
        </w:rPr>
        <w:t>2.</w:t>
      </w:r>
      <w:r>
        <w:rPr>
          <w:rFonts w:hint="eastAsia"/>
          <w:color w:val="auto"/>
          <w:highlight w:val="none"/>
        </w:rPr>
        <w:t>强化项目支撑</w:t>
      </w:r>
    </w:p>
    <w:p w14:paraId="20CA2BCB">
      <w:pPr>
        <w:ind w:firstLine="560"/>
        <w:rPr>
          <w:color w:val="auto"/>
          <w:highlight w:val="none"/>
        </w:rPr>
      </w:pPr>
      <w:r>
        <w:rPr>
          <w:rFonts w:hint="eastAsia"/>
          <w:color w:val="auto"/>
          <w:highlight w:val="none"/>
        </w:rPr>
        <w:t>准确把握国家产业政策，立足南芬区特色优势条件，围绕产业发展、基础设施、节能环保、生态建设和社会民生等领域规划项目，集中开发、储备、实施一批事关南芬区经济社会发展全局的重大项目，充分发挥重大项目建设对经济社会发展的支撑作用。大力开展招商引资和与国家、辽宁省以及本溪市的项目对接，争取获得更多的政策与资金支持。常态化储备项目</w:t>
      </w:r>
      <w:r>
        <w:rPr>
          <w:color w:val="auto"/>
          <w:highlight w:val="none"/>
        </w:rPr>
        <w:t>140个以上，每年获得上级政策支持项目6个以上，固定资产投资三年累计完成80亿元以上，年均增长15%。</w:t>
      </w:r>
    </w:p>
    <w:p w14:paraId="122E18B6">
      <w:pPr>
        <w:ind w:firstLine="560"/>
        <w:rPr>
          <w:color w:val="auto"/>
          <w:highlight w:val="none"/>
        </w:rPr>
      </w:pPr>
      <w:r>
        <w:rPr>
          <w:color w:val="auto"/>
          <w:highlight w:val="none"/>
        </w:rPr>
        <w:t>3.</w:t>
      </w:r>
      <w:r>
        <w:rPr>
          <w:rFonts w:hint="eastAsia"/>
          <w:color w:val="auto"/>
          <w:highlight w:val="none"/>
        </w:rPr>
        <w:t>推动规划落实</w:t>
      </w:r>
    </w:p>
    <w:p w14:paraId="29494BF9">
      <w:pPr>
        <w:ind w:firstLine="560"/>
        <w:rPr>
          <w:color w:val="auto"/>
          <w:highlight w:val="none"/>
        </w:rPr>
      </w:pPr>
      <w:r>
        <w:rPr>
          <w:rFonts w:hint="eastAsia"/>
          <w:color w:val="auto"/>
          <w:highlight w:val="none"/>
        </w:rPr>
        <w:t>在</w:t>
      </w:r>
      <w:r>
        <w:rPr>
          <w:rFonts w:hint="eastAsia"/>
          <w:color w:val="auto"/>
          <w:highlight w:val="none"/>
          <w:lang w:eastAsia="zh-CN"/>
        </w:rPr>
        <w:t>“十四五”规划</w:t>
      </w:r>
      <w:r>
        <w:rPr>
          <w:rFonts w:hint="eastAsia"/>
          <w:color w:val="auto"/>
          <w:highlight w:val="none"/>
        </w:rPr>
        <w:t>的执行上，广大党员干部要敢于担当、勇于负责、勤于思考、善于落实，充分发挥党员的先锋和模范作用。科学合理编制专项规划、区域规划和年度计划，分领域、分阶段落实本规划提出的目标和任务，保障规划有效实施。通过完善市场机制，改善激励机制，创造良好的政策环境、体制环境和法治环境。本规划确定的约束性指标和主要任务，纳入各街道办、部门经济社会发展综合评价和目标责任考核体系，确保各项指标和重点任务分解落实到各街道办、部门及相关重点企业。要进一步的完善考核评价机制，要以干成事为依据，要以推进高质量项目落地为依据，要以解决实际问题为依据，要以推进高质量的自主创新成果为依据。</w:t>
      </w:r>
    </w:p>
    <w:p w14:paraId="5140E276">
      <w:pPr>
        <w:ind w:firstLine="560"/>
        <w:rPr>
          <w:color w:val="auto"/>
          <w:highlight w:val="none"/>
        </w:rPr>
      </w:pPr>
      <w:r>
        <w:rPr>
          <w:color w:val="auto"/>
          <w:highlight w:val="none"/>
        </w:rPr>
        <w:br w:type="page"/>
      </w:r>
    </w:p>
    <w:p w14:paraId="14DB051A">
      <w:pPr>
        <w:pStyle w:val="8"/>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名词解释：</w:t>
      </w:r>
    </w:p>
    <w:p w14:paraId="34549D78">
      <w:pPr>
        <w:pStyle w:val="8"/>
        <w:ind w:firstLine="482"/>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1.“一区三基地”</w:t>
      </w:r>
      <w:r>
        <w:rPr>
          <w:rFonts w:hint="eastAsia" w:asciiTheme="minorEastAsia" w:hAnsiTheme="minorEastAsia" w:eastAsiaTheme="minorEastAsia"/>
          <w:color w:val="auto"/>
          <w:sz w:val="24"/>
          <w:highlight w:val="none"/>
        </w:rPr>
        <w:t>：“一区”指南芬经济开发区，“三基地”指人参铁产业基地、新材料产业基地、大宗固废综合再利用产业基地，形成南芬区工业产业布局。</w:t>
      </w:r>
    </w:p>
    <w:p w14:paraId="2CBABFE7">
      <w:pPr>
        <w:ind w:firstLine="482"/>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2.“一核</w:t>
      </w:r>
      <w:r>
        <w:rPr>
          <w:rFonts w:hint="eastAsia" w:asciiTheme="minorEastAsia" w:hAnsiTheme="minorEastAsia" w:eastAsiaTheme="minorEastAsia"/>
          <w:b/>
          <w:color w:val="auto"/>
          <w:sz w:val="24"/>
          <w:highlight w:val="none"/>
        </w:rPr>
        <w:t>、三区、四景、五镇</w:t>
      </w:r>
      <w:r>
        <w:rPr>
          <w:rFonts w:hint="eastAsia" w:asciiTheme="minorEastAsia" w:hAnsiTheme="minorEastAsia" w:eastAsiaTheme="minorEastAsia"/>
          <w:color w:val="auto"/>
          <w:sz w:val="24"/>
          <w:highlight w:val="none"/>
        </w:rPr>
        <w:t>”：指十四五期间南芬区文旅产业布局，打造全域生态文化旅游体系。“一核”指一个核心南芬区旅游服务功能核心；“三区”指三片区域，即北部冰谷生态及辽砚人文休闲度假区、中部户外冒险及红色文化体验区、南部辽东名镇康养及国防教育体验区；“四景”指四大旅游景区，即青云山景区、大冰沟景区、大峡谷景区、五鼎山景区；“五镇”指五个旅游特色小镇，即思山岭绿色矿山小镇、辽砚文化主题创意风情小镇、甬子峪少数民族特色小镇（村寨）、虹鳟水乡特色小镇、铸造产业小镇。</w:t>
      </w:r>
    </w:p>
    <w:p w14:paraId="3AFE357B">
      <w:pPr>
        <w:ind w:firstLine="482"/>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3.“一体两翼”：是</w:t>
      </w:r>
      <w:r>
        <w:rPr>
          <w:rFonts w:hint="eastAsia" w:asciiTheme="minorEastAsia" w:hAnsiTheme="minorEastAsia" w:eastAsiaTheme="minorEastAsia"/>
          <w:color w:val="auto"/>
          <w:sz w:val="24"/>
          <w:highlight w:val="none"/>
        </w:rPr>
        <w:t>指以南芬街道为“一体”，以思山岭街道“北翼”，以下马塘街道“南翼”，形成新型城镇化建设格局。</w:t>
      </w:r>
    </w:p>
    <w:p w14:paraId="67FE8E58">
      <w:pPr>
        <w:pStyle w:val="8"/>
        <w:ind w:firstLine="482"/>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4.“双生双宜”：</w:t>
      </w:r>
      <w:r>
        <w:rPr>
          <w:rFonts w:hint="eastAsia" w:asciiTheme="minorEastAsia" w:hAnsiTheme="minorEastAsia" w:eastAsiaTheme="minorEastAsia"/>
          <w:color w:val="auto"/>
          <w:sz w:val="24"/>
          <w:highlight w:val="none"/>
        </w:rPr>
        <w:t>是指建设绿色生产、绿色生活、适宜人居、适宜创业的生态体系。</w:t>
      </w:r>
    </w:p>
    <w:p w14:paraId="4AD43321">
      <w:pPr>
        <w:ind w:firstLine="482"/>
        <w:rPr>
          <w:rFonts w:asciiTheme="minorEastAsia" w:hAnsiTheme="minorEastAsia" w:eastAsiaTheme="minorEastAsia"/>
          <w:b/>
          <w:color w:val="auto"/>
          <w:sz w:val="24"/>
          <w:highlight w:val="none"/>
        </w:rPr>
      </w:pPr>
      <w:r>
        <w:rPr>
          <w:rFonts w:hint="eastAsia" w:asciiTheme="minorEastAsia" w:hAnsiTheme="minorEastAsia" w:eastAsiaTheme="minorEastAsia"/>
          <w:b/>
          <w:bCs/>
          <w:color w:val="auto"/>
          <w:sz w:val="24"/>
          <w:highlight w:val="none"/>
        </w:rPr>
        <w:t>5.“六大文化”：</w:t>
      </w:r>
      <w:r>
        <w:rPr>
          <w:rFonts w:hint="eastAsia" w:asciiTheme="minorEastAsia" w:hAnsiTheme="minorEastAsia" w:eastAsiaTheme="minorEastAsia"/>
          <w:color w:val="auto"/>
          <w:sz w:val="24"/>
          <w:highlight w:val="none"/>
        </w:rPr>
        <w:t>是指辽砚文化、民俗文化、生态文化、矿区文化、红色文化、历史文化。</w:t>
      </w:r>
    </w:p>
    <w:p w14:paraId="7DC3BA25">
      <w:pPr>
        <w:ind w:firstLine="482"/>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6.“三纵三横一环”：</w:t>
      </w:r>
      <w:r>
        <w:rPr>
          <w:rFonts w:hint="eastAsia" w:asciiTheme="minorEastAsia" w:hAnsiTheme="minorEastAsia" w:eastAsiaTheme="minorEastAsia"/>
          <w:color w:val="auto"/>
          <w:sz w:val="24"/>
          <w:highlight w:val="none"/>
        </w:rPr>
        <w:t>纵线一指思山岭三道河至财神庙绿色矿山产业大道（连通辽阳县和本溪县）；纵线二指解梨线+柏永线（连通辽阳县）；纵线三指施小线（连通辽阳县和本溪县）；横线一指细河产业大道；横线二指G304；横线三指丹阜高速；环线指旅游环线（连通多个景区）。</w:t>
      </w:r>
    </w:p>
    <w:p w14:paraId="68E2B5A2">
      <w:pPr>
        <w:pStyle w:val="8"/>
        <w:ind w:firstLine="482"/>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7.“三线一单”：</w:t>
      </w:r>
      <w:r>
        <w:rPr>
          <w:rFonts w:hint="eastAsia" w:asciiTheme="minorEastAsia" w:hAnsiTheme="minorEastAsia" w:eastAsiaTheme="minorEastAsia"/>
          <w:color w:val="auto"/>
          <w:sz w:val="24"/>
          <w:highlight w:val="none"/>
        </w:rPr>
        <w:t>是指生态保护红线、环境质量底线、资源利用上线和生态环境准入清单。</w:t>
      </w:r>
    </w:p>
    <w:p w14:paraId="684BC785">
      <w:pPr>
        <w:pStyle w:val="8"/>
        <w:ind w:firstLine="482"/>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8.“七通一平”：</w:t>
      </w:r>
      <w:r>
        <w:rPr>
          <w:rFonts w:hint="eastAsia" w:asciiTheme="minorEastAsia" w:hAnsiTheme="minorEastAsia" w:eastAsiaTheme="minorEastAsia"/>
          <w:color w:val="auto"/>
          <w:sz w:val="24"/>
          <w:highlight w:val="none"/>
        </w:rPr>
        <w:t>是指基本建设中前期工作的道路通、给水通、电通、排水通、热力通、电信通、燃气通及土地平整等的基础建设。</w:t>
      </w:r>
    </w:p>
    <w:sectPr>
      <w:footerReference r:id="rId11" w:type="default"/>
      <w:pgSz w:w="11906" w:h="16838"/>
      <w:pgMar w:top="1440" w:right="1800" w:bottom="1440" w:left="1800" w:header="720" w:footer="720"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14DCC">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E96E4">
                          <w:pPr>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C5E96E4">
                    <w:pPr>
                      <w:ind w:firstLine="5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17FA4">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7E863">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E137D">
    <w:pPr>
      <w:pStyle w:val="13"/>
      <w:ind w:firstLine="360"/>
    </w:pPr>
    <w:r>
      <mc:AlternateContent>
        <mc:Choice Requires="wps">
          <w:drawing>
            <wp:anchor distT="0" distB="0" distL="114300" distR="114300" simplePos="0" relativeHeight="251661312" behindDoc="0" locked="0" layoutInCell="1" allowOverlap="1">
              <wp:simplePos x="0" y="0"/>
              <wp:positionH relativeFrom="margin">
                <wp:posOffset>2604135</wp:posOffset>
              </wp:positionH>
              <wp:positionV relativeFrom="paragraph">
                <wp:posOffset>-66675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1258A">
                          <w:pPr>
                            <w:pStyle w:val="13"/>
                            <w:ind w:firstLine="36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5.05pt;margin-top:-5.25pt;height:144pt;width:144pt;mso-position-horizontal-relative:margin;mso-wrap-style:none;z-index:251661312;mso-width-relative:page;mso-height-relative:page;" filled="f" stroked="f" coordsize="21600,21600" o:gfxdata="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Vla2AAAAAsBAAAPAAAAAAAAAAEAIAAAACIAAABkcnMvZG93bnJldi54bWxQSwECFAAU&#10;AAAACACHTuJAyt3XDCoCAABXBAAADgAAAAAAAAABACAAAAAnAQAAZHJzL2Uyb0RvYy54bWxQSwUG&#10;AAAAAAYABgBZAQAAwwUAAAAA&#10;">
              <v:fill on="f" focussize="0,0"/>
              <v:stroke on="f" weight="0.5pt"/>
              <v:imagedata o:title=""/>
              <o:lock v:ext="edit" aspectratio="f"/>
              <v:textbox inset="0mm,0mm,0mm,0mm" style="mso-fit-shape-to-text:t;">
                <w:txbxContent>
                  <w:p w14:paraId="3CC1258A">
                    <w:pPr>
                      <w:pStyle w:val="13"/>
                      <w:ind w:firstLine="36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A5849">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121B8">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4F95">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EC0D68"/>
    <w:multiLevelType w:val="singleLevel"/>
    <w:tmpl w:val="C9EC0D68"/>
    <w:lvl w:ilvl="0" w:tentative="0">
      <w:start w:val="4"/>
      <w:numFmt w:val="decimal"/>
      <w:suff w:val="space"/>
      <w:lvlText w:val="%1."/>
      <w:lvlJc w:val="left"/>
    </w:lvl>
  </w:abstractNum>
  <w:abstractNum w:abstractNumId="1">
    <w:nsid w:val="05566F7E"/>
    <w:multiLevelType w:val="multilevel"/>
    <w:tmpl w:val="05566F7E"/>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1EB12B79"/>
    <w:multiLevelType w:val="multilevel"/>
    <w:tmpl w:val="1EB12B79"/>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VkMzI1ZDhkYmNlNzc1OTc5MzE4MGJhZTg1NWUzNzMifQ=="/>
  </w:docVars>
  <w:rsids>
    <w:rsidRoot w:val="00746019"/>
    <w:rsid w:val="00001E30"/>
    <w:rsid w:val="00002507"/>
    <w:rsid w:val="000065EA"/>
    <w:rsid w:val="00006B47"/>
    <w:rsid w:val="000077A5"/>
    <w:rsid w:val="00011EA8"/>
    <w:rsid w:val="00012AA1"/>
    <w:rsid w:val="0001700A"/>
    <w:rsid w:val="0002011E"/>
    <w:rsid w:val="0002166D"/>
    <w:rsid w:val="00022FD9"/>
    <w:rsid w:val="00030162"/>
    <w:rsid w:val="00040A49"/>
    <w:rsid w:val="00042DD2"/>
    <w:rsid w:val="00042FB5"/>
    <w:rsid w:val="0004314C"/>
    <w:rsid w:val="00046443"/>
    <w:rsid w:val="000467F5"/>
    <w:rsid w:val="00046B4E"/>
    <w:rsid w:val="000475C8"/>
    <w:rsid w:val="00050B1D"/>
    <w:rsid w:val="00051E94"/>
    <w:rsid w:val="00053650"/>
    <w:rsid w:val="000542F5"/>
    <w:rsid w:val="00061057"/>
    <w:rsid w:val="00064193"/>
    <w:rsid w:val="00067244"/>
    <w:rsid w:val="00072F62"/>
    <w:rsid w:val="0007753B"/>
    <w:rsid w:val="000817CC"/>
    <w:rsid w:val="00084C9A"/>
    <w:rsid w:val="00086E0F"/>
    <w:rsid w:val="00092E20"/>
    <w:rsid w:val="000A05F1"/>
    <w:rsid w:val="000A4712"/>
    <w:rsid w:val="000A6BFD"/>
    <w:rsid w:val="000A7E1D"/>
    <w:rsid w:val="000B1A5C"/>
    <w:rsid w:val="000B2AEF"/>
    <w:rsid w:val="000B4921"/>
    <w:rsid w:val="000B7F64"/>
    <w:rsid w:val="000C4908"/>
    <w:rsid w:val="000C5ACF"/>
    <w:rsid w:val="000C7111"/>
    <w:rsid w:val="000D44C9"/>
    <w:rsid w:val="000D4BBD"/>
    <w:rsid w:val="000E26A1"/>
    <w:rsid w:val="000E2A64"/>
    <w:rsid w:val="000F2880"/>
    <w:rsid w:val="000F314E"/>
    <w:rsid w:val="000F4A1C"/>
    <w:rsid w:val="000F7351"/>
    <w:rsid w:val="000F7857"/>
    <w:rsid w:val="00100771"/>
    <w:rsid w:val="00100CB4"/>
    <w:rsid w:val="0010247C"/>
    <w:rsid w:val="00102832"/>
    <w:rsid w:val="00102AF6"/>
    <w:rsid w:val="00103BE5"/>
    <w:rsid w:val="001045B9"/>
    <w:rsid w:val="00105BF4"/>
    <w:rsid w:val="0010635A"/>
    <w:rsid w:val="00106A2F"/>
    <w:rsid w:val="00111749"/>
    <w:rsid w:val="00112130"/>
    <w:rsid w:val="0011389E"/>
    <w:rsid w:val="001164E8"/>
    <w:rsid w:val="00120DA5"/>
    <w:rsid w:val="0012182C"/>
    <w:rsid w:val="00121B6E"/>
    <w:rsid w:val="0012416C"/>
    <w:rsid w:val="00124863"/>
    <w:rsid w:val="001258B6"/>
    <w:rsid w:val="00130975"/>
    <w:rsid w:val="00131CC9"/>
    <w:rsid w:val="00132DC8"/>
    <w:rsid w:val="00133B58"/>
    <w:rsid w:val="00133BF5"/>
    <w:rsid w:val="00134570"/>
    <w:rsid w:val="0013478F"/>
    <w:rsid w:val="00135313"/>
    <w:rsid w:val="001361FC"/>
    <w:rsid w:val="0013680D"/>
    <w:rsid w:val="00137047"/>
    <w:rsid w:val="00137AF4"/>
    <w:rsid w:val="001405C4"/>
    <w:rsid w:val="001427AA"/>
    <w:rsid w:val="001449FD"/>
    <w:rsid w:val="001473D8"/>
    <w:rsid w:val="00147451"/>
    <w:rsid w:val="001503A5"/>
    <w:rsid w:val="00154C53"/>
    <w:rsid w:val="001557DB"/>
    <w:rsid w:val="0016093B"/>
    <w:rsid w:val="00161259"/>
    <w:rsid w:val="00162BD5"/>
    <w:rsid w:val="00170C78"/>
    <w:rsid w:val="00172FF0"/>
    <w:rsid w:val="00174118"/>
    <w:rsid w:val="001745D4"/>
    <w:rsid w:val="00176955"/>
    <w:rsid w:val="00177F6C"/>
    <w:rsid w:val="00181BAC"/>
    <w:rsid w:val="00182B3D"/>
    <w:rsid w:val="00183F44"/>
    <w:rsid w:val="001876B7"/>
    <w:rsid w:val="00187C28"/>
    <w:rsid w:val="00190A07"/>
    <w:rsid w:val="00193A13"/>
    <w:rsid w:val="00195337"/>
    <w:rsid w:val="001A0C68"/>
    <w:rsid w:val="001A2703"/>
    <w:rsid w:val="001A36B0"/>
    <w:rsid w:val="001A7814"/>
    <w:rsid w:val="001A78C6"/>
    <w:rsid w:val="001C0DF1"/>
    <w:rsid w:val="001C174F"/>
    <w:rsid w:val="001C1BC7"/>
    <w:rsid w:val="001C2F07"/>
    <w:rsid w:val="001C4427"/>
    <w:rsid w:val="001D13B1"/>
    <w:rsid w:val="001D15E5"/>
    <w:rsid w:val="001D2A8E"/>
    <w:rsid w:val="001D2D29"/>
    <w:rsid w:val="001D36D7"/>
    <w:rsid w:val="001D3E8E"/>
    <w:rsid w:val="001D4A5A"/>
    <w:rsid w:val="001D4DF1"/>
    <w:rsid w:val="001D63C3"/>
    <w:rsid w:val="001D6916"/>
    <w:rsid w:val="001D69DD"/>
    <w:rsid w:val="001E0C53"/>
    <w:rsid w:val="001E123B"/>
    <w:rsid w:val="001E5205"/>
    <w:rsid w:val="001E603E"/>
    <w:rsid w:val="001E7711"/>
    <w:rsid w:val="001F2A24"/>
    <w:rsid w:val="001F55AF"/>
    <w:rsid w:val="001F5835"/>
    <w:rsid w:val="001F5EB7"/>
    <w:rsid w:val="001F6BF4"/>
    <w:rsid w:val="001F7EE8"/>
    <w:rsid w:val="00200848"/>
    <w:rsid w:val="0020121F"/>
    <w:rsid w:val="00204BCA"/>
    <w:rsid w:val="00212340"/>
    <w:rsid w:val="00213422"/>
    <w:rsid w:val="0021346E"/>
    <w:rsid w:val="00213669"/>
    <w:rsid w:val="00213989"/>
    <w:rsid w:val="00214964"/>
    <w:rsid w:val="00216972"/>
    <w:rsid w:val="0021764A"/>
    <w:rsid w:val="002209F8"/>
    <w:rsid w:val="00223B26"/>
    <w:rsid w:val="00223C73"/>
    <w:rsid w:val="00224123"/>
    <w:rsid w:val="00224441"/>
    <w:rsid w:val="00225350"/>
    <w:rsid w:val="00227B2E"/>
    <w:rsid w:val="00231EDA"/>
    <w:rsid w:val="00234762"/>
    <w:rsid w:val="002352FF"/>
    <w:rsid w:val="00240D4F"/>
    <w:rsid w:val="00242223"/>
    <w:rsid w:val="00243287"/>
    <w:rsid w:val="00243BD9"/>
    <w:rsid w:val="00245718"/>
    <w:rsid w:val="00245F78"/>
    <w:rsid w:val="00246FD9"/>
    <w:rsid w:val="0025097B"/>
    <w:rsid w:val="00250998"/>
    <w:rsid w:val="002521A8"/>
    <w:rsid w:val="00252918"/>
    <w:rsid w:val="00260B81"/>
    <w:rsid w:val="002619AB"/>
    <w:rsid w:val="00262535"/>
    <w:rsid w:val="00262A64"/>
    <w:rsid w:val="00262B17"/>
    <w:rsid w:val="00264B21"/>
    <w:rsid w:val="00265642"/>
    <w:rsid w:val="002658CB"/>
    <w:rsid w:val="00266175"/>
    <w:rsid w:val="00276F86"/>
    <w:rsid w:val="002770FE"/>
    <w:rsid w:val="00283B8E"/>
    <w:rsid w:val="002843AE"/>
    <w:rsid w:val="002852C5"/>
    <w:rsid w:val="0028799C"/>
    <w:rsid w:val="00291D5D"/>
    <w:rsid w:val="002933A0"/>
    <w:rsid w:val="002A01A7"/>
    <w:rsid w:val="002A1B19"/>
    <w:rsid w:val="002A423D"/>
    <w:rsid w:val="002A4CE7"/>
    <w:rsid w:val="002B1EC0"/>
    <w:rsid w:val="002B69F9"/>
    <w:rsid w:val="002B6F32"/>
    <w:rsid w:val="002C3597"/>
    <w:rsid w:val="002C5256"/>
    <w:rsid w:val="002C6AFC"/>
    <w:rsid w:val="002C6FBA"/>
    <w:rsid w:val="002D0162"/>
    <w:rsid w:val="002D1511"/>
    <w:rsid w:val="002D2E4E"/>
    <w:rsid w:val="002D31DB"/>
    <w:rsid w:val="002D509B"/>
    <w:rsid w:val="002D52DB"/>
    <w:rsid w:val="002D5BCC"/>
    <w:rsid w:val="002D678D"/>
    <w:rsid w:val="002D705E"/>
    <w:rsid w:val="002E31A4"/>
    <w:rsid w:val="002E5CD4"/>
    <w:rsid w:val="002E6140"/>
    <w:rsid w:val="002E7FD3"/>
    <w:rsid w:val="002F237E"/>
    <w:rsid w:val="002F2AAC"/>
    <w:rsid w:val="002F3428"/>
    <w:rsid w:val="002F34D8"/>
    <w:rsid w:val="002F3681"/>
    <w:rsid w:val="002F5615"/>
    <w:rsid w:val="002F6BEA"/>
    <w:rsid w:val="002F7ED0"/>
    <w:rsid w:val="00303180"/>
    <w:rsid w:val="00305813"/>
    <w:rsid w:val="00313674"/>
    <w:rsid w:val="00320031"/>
    <w:rsid w:val="003205BE"/>
    <w:rsid w:val="00321715"/>
    <w:rsid w:val="00324776"/>
    <w:rsid w:val="003258E1"/>
    <w:rsid w:val="00325ED6"/>
    <w:rsid w:val="00327F9A"/>
    <w:rsid w:val="0033097A"/>
    <w:rsid w:val="00331254"/>
    <w:rsid w:val="0033633B"/>
    <w:rsid w:val="00337200"/>
    <w:rsid w:val="003404D3"/>
    <w:rsid w:val="00341F19"/>
    <w:rsid w:val="00344589"/>
    <w:rsid w:val="00350323"/>
    <w:rsid w:val="00353B26"/>
    <w:rsid w:val="00353EA8"/>
    <w:rsid w:val="00355ED9"/>
    <w:rsid w:val="003636F1"/>
    <w:rsid w:val="00364CCD"/>
    <w:rsid w:val="00365AA1"/>
    <w:rsid w:val="003664F4"/>
    <w:rsid w:val="00366643"/>
    <w:rsid w:val="00367913"/>
    <w:rsid w:val="003700D1"/>
    <w:rsid w:val="00374FB9"/>
    <w:rsid w:val="00376749"/>
    <w:rsid w:val="00376DA9"/>
    <w:rsid w:val="003859F4"/>
    <w:rsid w:val="00385E73"/>
    <w:rsid w:val="00386428"/>
    <w:rsid w:val="0039357C"/>
    <w:rsid w:val="0039658B"/>
    <w:rsid w:val="003A0A20"/>
    <w:rsid w:val="003A2323"/>
    <w:rsid w:val="003A30E8"/>
    <w:rsid w:val="003A509B"/>
    <w:rsid w:val="003A5420"/>
    <w:rsid w:val="003A54D6"/>
    <w:rsid w:val="003A5953"/>
    <w:rsid w:val="003B4B40"/>
    <w:rsid w:val="003B55BC"/>
    <w:rsid w:val="003C2EC1"/>
    <w:rsid w:val="003C5851"/>
    <w:rsid w:val="003C5D76"/>
    <w:rsid w:val="003C6D4E"/>
    <w:rsid w:val="003C70F7"/>
    <w:rsid w:val="003D1D3D"/>
    <w:rsid w:val="003D2CBE"/>
    <w:rsid w:val="003D2E37"/>
    <w:rsid w:val="003D37BC"/>
    <w:rsid w:val="003D61EC"/>
    <w:rsid w:val="003E272A"/>
    <w:rsid w:val="003E32D5"/>
    <w:rsid w:val="003E362A"/>
    <w:rsid w:val="003E5038"/>
    <w:rsid w:val="003E538F"/>
    <w:rsid w:val="003E5727"/>
    <w:rsid w:val="003E5C27"/>
    <w:rsid w:val="003F0EB8"/>
    <w:rsid w:val="003F43EE"/>
    <w:rsid w:val="003F4557"/>
    <w:rsid w:val="003F53F1"/>
    <w:rsid w:val="0040071F"/>
    <w:rsid w:val="004030FC"/>
    <w:rsid w:val="00405E98"/>
    <w:rsid w:val="0040601D"/>
    <w:rsid w:val="004066ED"/>
    <w:rsid w:val="00407568"/>
    <w:rsid w:val="00407615"/>
    <w:rsid w:val="00407A4B"/>
    <w:rsid w:val="0041008E"/>
    <w:rsid w:val="0041307B"/>
    <w:rsid w:val="00415DBD"/>
    <w:rsid w:val="00420B7B"/>
    <w:rsid w:val="004228B2"/>
    <w:rsid w:val="00422E2E"/>
    <w:rsid w:val="00422FEB"/>
    <w:rsid w:val="00423043"/>
    <w:rsid w:val="00423F92"/>
    <w:rsid w:val="00425C1E"/>
    <w:rsid w:val="0042605D"/>
    <w:rsid w:val="00430B2C"/>
    <w:rsid w:val="00431503"/>
    <w:rsid w:val="00433660"/>
    <w:rsid w:val="00433F9F"/>
    <w:rsid w:val="004342D1"/>
    <w:rsid w:val="00434895"/>
    <w:rsid w:val="004368EE"/>
    <w:rsid w:val="00441D09"/>
    <w:rsid w:val="00443F72"/>
    <w:rsid w:val="00446593"/>
    <w:rsid w:val="00446840"/>
    <w:rsid w:val="00451E73"/>
    <w:rsid w:val="00453B43"/>
    <w:rsid w:val="0045432A"/>
    <w:rsid w:val="004551DB"/>
    <w:rsid w:val="004607B5"/>
    <w:rsid w:val="004628B6"/>
    <w:rsid w:val="004628EC"/>
    <w:rsid w:val="004641CA"/>
    <w:rsid w:val="00464F05"/>
    <w:rsid w:val="00465220"/>
    <w:rsid w:val="004666C6"/>
    <w:rsid w:val="00470200"/>
    <w:rsid w:val="004712F9"/>
    <w:rsid w:val="0047287E"/>
    <w:rsid w:val="00475BCB"/>
    <w:rsid w:val="00477857"/>
    <w:rsid w:val="004818FD"/>
    <w:rsid w:val="004855E4"/>
    <w:rsid w:val="00486DAA"/>
    <w:rsid w:val="00493ED2"/>
    <w:rsid w:val="00497030"/>
    <w:rsid w:val="004975AD"/>
    <w:rsid w:val="004A01BE"/>
    <w:rsid w:val="004A0386"/>
    <w:rsid w:val="004A36E9"/>
    <w:rsid w:val="004A37E9"/>
    <w:rsid w:val="004A77A9"/>
    <w:rsid w:val="004A7955"/>
    <w:rsid w:val="004B1832"/>
    <w:rsid w:val="004B501D"/>
    <w:rsid w:val="004B665E"/>
    <w:rsid w:val="004B767D"/>
    <w:rsid w:val="004B77D5"/>
    <w:rsid w:val="004C1BC8"/>
    <w:rsid w:val="004C30A2"/>
    <w:rsid w:val="004C41A3"/>
    <w:rsid w:val="004C5D10"/>
    <w:rsid w:val="004C5D53"/>
    <w:rsid w:val="004D145D"/>
    <w:rsid w:val="004D19E2"/>
    <w:rsid w:val="004D4268"/>
    <w:rsid w:val="004D59C0"/>
    <w:rsid w:val="004E07D9"/>
    <w:rsid w:val="004E0FC6"/>
    <w:rsid w:val="004E2259"/>
    <w:rsid w:val="004E3713"/>
    <w:rsid w:val="004E7267"/>
    <w:rsid w:val="004F4197"/>
    <w:rsid w:val="004F5624"/>
    <w:rsid w:val="00500D16"/>
    <w:rsid w:val="0050242D"/>
    <w:rsid w:val="005141C3"/>
    <w:rsid w:val="005179D9"/>
    <w:rsid w:val="00520BCF"/>
    <w:rsid w:val="005235BF"/>
    <w:rsid w:val="00524BC4"/>
    <w:rsid w:val="00526ADB"/>
    <w:rsid w:val="00534629"/>
    <w:rsid w:val="0053675B"/>
    <w:rsid w:val="005406D7"/>
    <w:rsid w:val="00541A3E"/>
    <w:rsid w:val="00542776"/>
    <w:rsid w:val="00543AD6"/>
    <w:rsid w:val="0054413E"/>
    <w:rsid w:val="00545318"/>
    <w:rsid w:val="00545ADA"/>
    <w:rsid w:val="00552C44"/>
    <w:rsid w:val="00553F3A"/>
    <w:rsid w:val="00555010"/>
    <w:rsid w:val="005563F6"/>
    <w:rsid w:val="00556739"/>
    <w:rsid w:val="00557309"/>
    <w:rsid w:val="005617D6"/>
    <w:rsid w:val="00563D09"/>
    <w:rsid w:val="00565628"/>
    <w:rsid w:val="00565EEB"/>
    <w:rsid w:val="00574480"/>
    <w:rsid w:val="0057573E"/>
    <w:rsid w:val="00577A0F"/>
    <w:rsid w:val="0058250E"/>
    <w:rsid w:val="00583224"/>
    <w:rsid w:val="005907A7"/>
    <w:rsid w:val="005A123D"/>
    <w:rsid w:val="005A1319"/>
    <w:rsid w:val="005A1700"/>
    <w:rsid w:val="005A1C32"/>
    <w:rsid w:val="005A1C5F"/>
    <w:rsid w:val="005A3A7E"/>
    <w:rsid w:val="005A7EB6"/>
    <w:rsid w:val="005B4FD2"/>
    <w:rsid w:val="005B51BD"/>
    <w:rsid w:val="005B57E5"/>
    <w:rsid w:val="005C01EF"/>
    <w:rsid w:val="005C1B09"/>
    <w:rsid w:val="005C24B4"/>
    <w:rsid w:val="005C367A"/>
    <w:rsid w:val="005C43DA"/>
    <w:rsid w:val="005D15D5"/>
    <w:rsid w:val="005D2C33"/>
    <w:rsid w:val="005D3A20"/>
    <w:rsid w:val="005D5183"/>
    <w:rsid w:val="005D7910"/>
    <w:rsid w:val="005E0706"/>
    <w:rsid w:val="005E0CCC"/>
    <w:rsid w:val="005E38B2"/>
    <w:rsid w:val="005E3C72"/>
    <w:rsid w:val="005E55F8"/>
    <w:rsid w:val="005E65C6"/>
    <w:rsid w:val="005F1257"/>
    <w:rsid w:val="005F4539"/>
    <w:rsid w:val="005F7787"/>
    <w:rsid w:val="005F7D3E"/>
    <w:rsid w:val="00600CF6"/>
    <w:rsid w:val="00600EF0"/>
    <w:rsid w:val="0060171E"/>
    <w:rsid w:val="00605A94"/>
    <w:rsid w:val="00606150"/>
    <w:rsid w:val="006065F6"/>
    <w:rsid w:val="00612314"/>
    <w:rsid w:val="00613154"/>
    <w:rsid w:val="00613953"/>
    <w:rsid w:val="006139BD"/>
    <w:rsid w:val="00614E69"/>
    <w:rsid w:val="006204BF"/>
    <w:rsid w:val="00623092"/>
    <w:rsid w:val="00623571"/>
    <w:rsid w:val="00624E3B"/>
    <w:rsid w:val="006251E3"/>
    <w:rsid w:val="00627083"/>
    <w:rsid w:val="0063249E"/>
    <w:rsid w:val="0063406F"/>
    <w:rsid w:val="0063578E"/>
    <w:rsid w:val="006379DC"/>
    <w:rsid w:val="00643E37"/>
    <w:rsid w:val="00646DD0"/>
    <w:rsid w:val="00650A31"/>
    <w:rsid w:val="00650F4A"/>
    <w:rsid w:val="0065177A"/>
    <w:rsid w:val="0065345D"/>
    <w:rsid w:val="006541D8"/>
    <w:rsid w:val="00654BB7"/>
    <w:rsid w:val="006550D1"/>
    <w:rsid w:val="00656784"/>
    <w:rsid w:val="00665C51"/>
    <w:rsid w:val="00666823"/>
    <w:rsid w:val="00675C53"/>
    <w:rsid w:val="00680D49"/>
    <w:rsid w:val="006843B3"/>
    <w:rsid w:val="00690895"/>
    <w:rsid w:val="0069435C"/>
    <w:rsid w:val="006A0E18"/>
    <w:rsid w:val="006A4358"/>
    <w:rsid w:val="006A539D"/>
    <w:rsid w:val="006A5CA2"/>
    <w:rsid w:val="006A6E10"/>
    <w:rsid w:val="006B012E"/>
    <w:rsid w:val="006B129B"/>
    <w:rsid w:val="006B7BF8"/>
    <w:rsid w:val="006C0B45"/>
    <w:rsid w:val="006C11C5"/>
    <w:rsid w:val="006C2C74"/>
    <w:rsid w:val="006C319F"/>
    <w:rsid w:val="006C7B59"/>
    <w:rsid w:val="006D033C"/>
    <w:rsid w:val="006D123D"/>
    <w:rsid w:val="006D348A"/>
    <w:rsid w:val="006D3997"/>
    <w:rsid w:val="006D3AFF"/>
    <w:rsid w:val="006D4DBF"/>
    <w:rsid w:val="006D5444"/>
    <w:rsid w:val="006D7CEE"/>
    <w:rsid w:val="006E1C33"/>
    <w:rsid w:val="006E1CED"/>
    <w:rsid w:val="006E2684"/>
    <w:rsid w:val="006E2B2B"/>
    <w:rsid w:val="006E2F62"/>
    <w:rsid w:val="006E3764"/>
    <w:rsid w:val="006E4F8C"/>
    <w:rsid w:val="006E6AAD"/>
    <w:rsid w:val="006E7D5B"/>
    <w:rsid w:val="006F06AC"/>
    <w:rsid w:val="006F5A7E"/>
    <w:rsid w:val="00703F0B"/>
    <w:rsid w:val="00704895"/>
    <w:rsid w:val="00704CC0"/>
    <w:rsid w:val="00704CCD"/>
    <w:rsid w:val="007053FC"/>
    <w:rsid w:val="00705FD4"/>
    <w:rsid w:val="007062E2"/>
    <w:rsid w:val="007067C0"/>
    <w:rsid w:val="00706BB4"/>
    <w:rsid w:val="00707064"/>
    <w:rsid w:val="007070D0"/>
    <w:rsid w:val="00711426"/>
    <w:rsid w:val="00712686"/>
    <w:rsid w:val="00721EE3"/>
    <w:rsid w:val="007224C1"/>
    <w:rsid w:val="007235F6"/>
    <w:rsid w:val="00724753"/>
    <w:rsid w:val="00731CDD"/>
    <w:rsid w:val="00733017"/>
    <w:rsid w:val="00733FFF"/>
    <w:rsid w:val="00735927"/>
    <w:rsid w:val="00736CE6"/>
    <w:rsid w:val="00742BFB"/>
    <w:rsid w:val="00744BC2"/>
    <w:rsid w:val="00745E47"/>
    <w:rsid w:val="00746019"/>
    <w:rsid w:val="007475D8"/>
    <w:rsid w:val="0075117D"/>
    <w:rsid w:val="00751BD0"/>
    <w:rsid w:val="007629A0"/>
    <w:rsid w:val="0076507C"/>
    <w:rsid w:val="007655A1"/>
    <w:rsid w:val="00766205"/>
    <w:rsid w:val="00767168"/>
    <w:rsid w:val="00767D68"/>
    <w:rsid w:val="00772E5B"/>
    <w:rsid w:val="007756E9"/>
    <w:rsid w:val="00777CD6"/>
    <w:rsid w:val="007830BF"/>
    <w:rsid w:val="0078410E"/>
    <w:rsid w:val="00786753"/>
    <w:rsid w:val="00787084"/>
    <w:rsid w:val="007876FF"/>
    <w:rsid w:val="00793581"/>
    <w:rsid w:val="007940FA"/>
    <w:rsid w:val="00794AA2"/>
    <w:rsid w:val="007A3709"/>
    <w:rsid w:val="007A66C7"/>
    <w:rsid w:val="007A676F"/>
    <w:rsid w:val="007A69F2"/>
    <w:rsid w:val="007A6B38"/>
    <w:rsid w:val="007B0B7C"/>
    <w:rsid w:val="007B4258"/>
    <w:rsid w:val="007B5113"/>
    <w:rsid w:val="007B66F8"/>
    <w:rsid w:val="007B7994"/>
    <w:rsid w:val="007C035D"/>
    <w:rsid w:val="007C16E2"/>
    <w:rsid w:val="007C3F07"/>
    <w:rsid w:val="007C5049"/>
    <w:rsid w:val="007C5E3F"/>
    <w:rsid w:val="007C715B"/>
    <w:rsid w:val="007D1BC8"/>
    <w:rsid w:val="007D1EE3"/>
    <w:rsid w:val="007D3946"/>
    <w:rsid w:val="007D4B3A"/>
    <w:rsid w:val="007D642B"/>
    <w:rsid w:val="007E3CE6"/>
    <w:rsid w:val="007E4D4F"/>
    <w:rsid w:val="007E5911"/>
    <w:rsid w:val="007F1BF3"/>
    <w:rsid w:val="007F2030"/>
    <w:rsid w:val="007F64D6"/>
    <w:rsid w:val="007F64F6"/>
    <w:rsid w:val="007F7535"/>
    <w:rsid w:val="007F7AFA"/>
    <w:rsid w:val="0080000F"/>
    <w:rsid w:val="0080271A"/>
    <w:rsid w:val="008027ED"/>
    <w:rsid w:val="00810230"/>
    <w:rsid w:val="008103C4"/>
    <w:rsid w:val="00812699"/>
    <w:rsid w:val="00812949"/>
    <w:rsid w:val="00812FD9"/>
    <w:rsid w:val="00817CF7"/>
    <w:rsid w:val="008219B4"/>
    <w:rsid w:val="0082277F"/>
    <w:rsid w:val="00824989"/>
    <w:rsid w:val="00825C39"/>
    <w:rsid w:val="00830672"/>
    <w:rsid w:val="00830E06"/>
    <w:rsid w:val="0083132C"/>
    <w:rsid w:val="008325D4"/>
    <w:rsid w:val="00834945"/>
    <w:rsid w:val="008349E5"/>
    <w:rsid w:val="00834C37"/>
    <w:rsid w:val="0084052A"/>
    <w:rsid w:val="0084515A"/>
    <w:rsid w:val="00846766"/>
    <w:rsid w:val="00846BD0"/>
    <w:rsid w:val="008538C4"/>
    <w:rsid w:val="00853BA5"/>
    <w:rsid w:val="008562EA"/>
    <w:rsid w:val="00863F2A"/>
    <w:rsid w:val="0086476D"/>
    <w:rsid w:val="00866704"/>
    <w:rsid w:val="00866F3F"/>
    <w:rsid w:val="00875660"/>
    <w:rsid w:val="00875CF8"/>
    <w:rsid w:val="00877CC7"/>
    <w:rsid w:val="00880695"/>
    <w:rsid w:val="00882D24"/>
    <w:rsid w:val="0088641A"/>
    <w:rsid w:val="00887649"/>
    <w:rsid w:val="00891FBE"/>
    <w:rsid w:val="00893DC0"/>
    <w:rsid w:val="00893DCC"/>
    <w:rsid w:val="00894A05"/>
    <w:rsid w:val="00894D9B"/>
    <w:rsid w:val="00895D6B"/>
    <w:rsid w:val="008A220C"/>
    <w:rsid w:val="008A2C71"/>
    <w:rsid w:val="008A413B"/>
    <w:rsid w:val="008B0C0A"/>
    <w:rsid w:val="008B6754"/>
    <w:rsid w:val="008B7F5D"/>
    <w:rsid w:val="008C260D"/>
    <w:rsid w:val="008C5654"/>
    <w:rsid w:val="008C5AE3"/>
    <w:rsid w:val="008C6BBD"/>
    <w:rsid w:val="008C7362"/>
    <w:rsid w:val="008D03FF"/>
    <w:rsid w:val="008D0C4D"/>
    <w:rsid w:val="008D230F"/>
    <w:rsid w:val="008D341F"/>
    <w:rsid w:val="008D3CC4"/>
    <w:rsid w:val="008D52B0"/>
    <w:rsid w:val="008D56FE"/>
    <w:rsid w:val="008E3F84"/>
    <w:rsid w:val="008E7BD7"/>
    <w:rsid w:val="008E7CBF"/>
    <w:rsid w:val="008F4FDA"/>
    <w:rsid w:val="008F6878"/>
    <w:rsid w:val="009002C9"/>
    <w:rsid w:val="0090600D"/>
    <w:rsid w:val="009079B2"/>
    <w:rsid w:val="00910564"/>
    <w:rsid w:val="009105CD"/>
    <w:rsid w:val="00912C14"/>
    <w:rsid w:val="009144AE"/>
    <w:rsid w:val="0091758D"/>
    <w:rsid w:val="00917F38"/>
    <w:rsid w:val="00920B1C"/>
    <w:rsid w:val="00923675"/>
    <w:rsid w:val="009243B5"/>
    <w:rsid w:val="00925060"/>
    <w:rsid w:val="00925447"/>
    <w:rsid w:val="00925FBC"/>
    <w:rsid w:val="00926465"/>
    <w:rsid w:val="0092798D"/>
    <w:rsid w:val="00933C32"/>
    <w:rsid w:val="00934863"/>
    <w:rsid w:val="00934F19"/>
    <w:rsid w:val="009358EC"/>
    <w:rsid w:val="0093656D"/>
    <w:rsid w:val="0094039C"/>
    <w:rsid w:val="00941372"/>
    <w:rsid w:val="00942D70"/>
    <w:rsid w:val="009439D6"/>
    <w:rsid w:val="009501D4"/>
    <w:rsid w:val="00954325"/>
    <w:rsid w:val="00962B5D"/>
    <w:rsid w:val="00965AB5"/>
    <w:rsid w:val="009701F2"/>
    <w:rsid w:val="00972AA3"/>
    <w:rsid w:val="0097498D"/>
    <w:rsid w:val="009757C5"/>
    <w:rsid w:val="009776E1"/>
    <w:rsid w:val="00977813"/>
    <w:rsid w:val="00977E5F"/>
    <w:rsid w:val="00983839"/>
    <w:rsid w:val="00983885"/>
    <w:rsid w:val="00983BDE"/>
    <w:rsid w:val="0098442E"/>
    <w:rsid w:val="009874FE"/>
    <w:rsid w:val="0099535F"/>
    <w:rsid w:val="009962B8"/>
    <w:rsid w:val="009962D2"/>
    <w:rsid w:val="009A075A"/>
    <w:rsid w:val="009A0FE7"/>
    <w:rsid w:val="009A2559"/>
    <w:rsid w:val="009A7B9C"/>
    <w:rsid w:val="009B15CF"/>
    <w:rsid w:val="009B1616"/>
    <w:rsid w:val="009B37F9"/>
    <w:rsid w:val="009B562D"/>
    <w:rsid w:val="009B6AA2"/>
    <w:rsid w:val="009C23B8"/>
    <w:rsid w:val="009C2542"/>
    <w:rsid w:val="009C5242"/>
    <w:rsid w:val="009C6386"/>
    <w:rsid w:val="009C7EC5"/>
    <w:rsid w:val="009D0914"/>
    <w:rsid w:val="009D4A11"/>
    <w:rsid w:val="009D59AC"/>
    <w:rsid w:val="009D674E"/>
    <w:rsid w:val="009D70A2"/>
    <w:rsid w:val="009D77E6"/>
    <w:rsid w:val="009E14BE"/>
    <w:rsid w:val="009F151D"/>
    <w:rsid w:val="009F49EF"/>
    <w:rsid w:val="009F4ACA"/>
    <w:rsid w:val="009F7444"/>
    <w:rsid w:val="00A01B28"/>
    <w:rsid w:val="00A03275"/>
    <w:rsid w:val="00A05088"/>
    <w:rsid w:val="00A12F1A"/>
    <w:rsid w:val="00A14E5E"/>
    <w:rsid w:val="00A17B0C"/>
    <w:rsid w:val="00A2208E"/>
    <w:rsid w:val="00A221A6"/>
    <w:rsid w:val="00A22660"/>
    <w:rsid w:val="00A23D3B"/>
    <w:rsid w:val="00A245CE"/>
    <w:rsid w:val="00A25FB1"/>
    <w:rsid w:val="00A26F9A"/>
    <w:rsid w:val="00A31253"/>
    <w:rsid w:val="00A3189D"/>
    <w:rsid w:val="00A31DF0"/>
    <w:rsid w:val="00A334AA"/>
    <w:rsid w:val="00A41B01"/>
    <w:rsid w:val="00A45311"/>
    <w:rsid w:val="00A468C5"/>
    <w:rsid w:val="00A47BD6"/>
    <w:rsid w:val="00A527E5"/>
    <w:rsid w:val="00A53041"/>
    <w:rsid w:val="00A53DDA"/>
    <w:rsid w:val="00A54545"/>
    <w:rsid w:val="00A56015"/>
    <w:rsid w:val="00A57FFB"/>
    <w:rsid w:val="00A636D2"/>
    <w:rsid w:val="00A65B8E"/>
    <w:rsid w:val="00A67CFD"/>
    <w:rsid w:val="00A70DEF"/>
    <w:rsid w:val="00A70F88"/>
    <w:rsid w:val="00A72184"/>
    <w:rsid w:val="00A7430A"/>
    <w:rsid w:val="00A76077"/>
    <w:rsid w:val="00A76BB3"/>
    <w:rsid w:val="00A77096"/>
    <w:rsid w:val="00A83948"/>
    <w:rsid w:val="00A91D4D"/>
    <w:rsid w:val="00A91F05"/>
    <w:rsid w:val="00A96150"/>
    <w:rsid w:val="00A968E8"/>
    <w:rsid w:val="00A97C37"/>
    <w:rsid w:val="00AA0B22"/>
    <w:rsid w:val="00AA354B"/>
    <w:rsid w:val="00AA7E1A"/>
    <w:rsid w:val="00AB0E87"/>
    <w:rsid w:val="00AB10DC"/>
    <w:rsid w:val="00AB1384"/>
    <w:rsid w:val="00AB43BB"/>
    <w:rsid w:val="00AB5A17"/>
    <w:rsid w:val="00AB6163"/>
    <w:rsid w:val="00AC0D35"/>
    <w:rsid w:val="00AC607F"/>
    <w:rsid w:val="00AC7360"/>
    <w:rsid w:val="00AD5C8F"/>
    <w:rsid w:val="00AE1659"/>
    <w:rsid w:val="00AE3215"/>
    <w:rsid w:val="00AE479D"/>
    <w:rsid w:val="00AF097C"/>
    <w:rsid w:val="00AF0B60"/>
    <w:rsid w:val="00AF0F8F"/>
    <w:rsid w:val="00AF15CB"/>
    <w:rsid w:val="00AF27B9"/>
    <w:rsid w:val="00AF33ED"/>
    <w:rsid w:val="00AF3AD2"/>
    <w:rsid w:val="00AF3E9C"/>
    <w:rsid w:val="00AF4C24"/>
    <w:rsid w:val="00AF5CCC"/>
    <w:rsid w:val="00AF7CD4"/>
    <w:rsid w:val="00B05ACD"/>
    <w:rsid w:val="00B0739E"/>
    <w:rsid w:val="00B07AD5"/>
    <w:rsid w:val="00B11EB8"/>
    <w:rsid w:val="00B167DA"/>
    <w:rsid w:val="00B17285"/>
    <w:rsid w:val="00B17AFF"/>
    <w:rsid w:val="00B201EE"/>
    <w:rsid w:val="00B20448"/>
    <w:rsid w:val="00B21C00"/>
    <w:rsid w:val="00B2264A"/>
    <w:rsid w:val="00B25A27"/>
    <w:rsid w:val="00B26876"/>
    <w:rsid w:val="00B27325"/>
    <w:rsid w:val="00B314D2"/>
    <w:rsid w:val="00B32CCC"/>
    <w:rsid w:val="00B3380E"/>
    <w:rsid w:val="00B354F2"/>
    <w:rsid w:val="00B3744C"/>
    <w:rsid w:val="00B405E4"/>
    <w:rsid w:val="00B418D2"/>
    <w:rsid w:val="00B42F21"/>
    <w:rsid w:val="00B45A1E"/>
    <w:rsid w:val="00B45C28"/>
    <w:rsid w:val="00B46E24"/>
    <w:rsid w:val="00B478E3"/>
    <w:rsid w:val="00B47A60"/>
    <w:rsid w:val="00B50D65"/>
    <w:rsid w:val="00B51B8D"/>
    <w:rsid w:val="00B6069E"/>
    <w:rsid w:val="00B64E6E"/>
    <w:rsid w:val="00B660F3"/>
    <w:rsid w:val="00B66CA9"/>
    <w:rsid w:val="00B66E99"/>
    <w:rsid w:val="00B6702B"/>
    <w:rsid w:val="00B67F39"/>
    <w:rsid w:val="00B71A47"/>
    <w:rsid w:val="00B74A16"/>
    <w:rsid w:val="00B80192"/>
    <w:rsid w:val="00B80254"/>
    <w:rsid w:val="00B81DBA"/>
    <w:rsid w:val="00B830EE"/>
    <w:rsid w:val="00B84D3D"/>
    <w:rsid w:val="00B85DA2"/>
    <w:rsid w:val="00B85F96"/>
    <w:rsid w:val="00B865B8"/>
    <w:rsid w:val="00B8660E"/>
    <w:rsid w:val="00B87820"/>
    <w:rsid w:val="00B90EF9"/>
    <w:rsid w:val="00B92842"/>
    <w:rsid w:val="00B930B3"/>
    <w:rsid w:val="00B93313"/>
    <w:rsid w:val="00B951D9"/>
    <w:rsid w:val="00BA0D87"/>
    <w:rsid w:val="00BA1614"/>
    <w:rsid w:val="00BA165A"/>
    <w:rsid w:val="00BA1858"/>
    <w:rsid w:val="00BA1916"/>
    <w:rsid w:val="00BA35DC"/>
    <w:rsid w:val="00BA4AF9"/>
    <w:rsid w:val="00BA604E"/>
    <w:rsid w:val="00BA6598"/>
    <w:rsid w:val="00BB038A"/>
    <w:rsid w:val="00BB04FA"/>
    <w:rsid w:val="00BB0537"/>
    <w:rsid w:val="00BB6BD1"/>
    <w:rsid w:val="00BC124B"/>
    <w:rsid w:val="00BC1691"/>
    <w:rsid w:val="00BC46C8"/>
    <w:rsid w:val="00BC4DC1"/>
    <w:rsid w:val="00BC76E4"/>
    <w:rsid w:val="00BD6945"/>
    <w:rsid w:val="00BD7306"/>
    <w:rsid w:val="00BE0A02"/>
    <w:rsid w:val="00BE2BAA"/>
    <w:rsid w:val="00BE3E50"/>
    <w:rsid w:val="00BE4CD2"/>
    <w:rsid w:val="00BE6F01"/>
    <w:rsid w:val="00BF3AE1"/>
    <w:rsid w:val="00BF4562"/>
    <w:rsid w:val="00BF4E6F"/>
    <w:rsid w:val="00BF7A6C"/>
    <w:rsid w:val="00C0086F"/>
    <w:rsid w:val="00C01F39"/>
    <w:rsid w:val="00C01FD3"/>
    <w:rsid w:val="00C042BA"/>
    <w:rsid w:val="00C05823"/>
    <w:rsid w:val="00C06778"/>
    <w:rsid w:val="00C10FAD"/>
    <w:rsid w:val="00C1540A"/>
    <w:rsid w:val="00C16169"/>
    <w:rsid w:val="00C175B9"/>
    <w:rsid w:val="00C20AC6"/>
    <w:rsid w:val="00C23671"/>
    <w:rsid w:val="00C243D9"/>
    <w:rsid w:val="00C25015"/>
    <w:rsid w:val="00C328D6"/>
    <w:rsid w:val="00C32E8E"/>
    <w:rsid w:val="00C3547B"/>
    <w:rsid w:val="00C4239C"/>
    <w:rsid w:val="00C42F08"/>
    <w:rsid w:val="00C43B12"/>
    <w:rsid w:val="00C448E9"/>
    <w:rsid w:val="00C45B1E"/>
    <w:rsid w:val="00C5183E"/>
    <w:rsid w:val="00C54631"/>
    <w:rsid w:val="00C54B3F"/>
    <w:rsid w:val="00C60AF7"/>
    <w:rsid w:val="00C60C7D"/>
    <w:rsid w:val="00C62630"/>
    <w:rsid w:val="00C62903"/>
    <w:rsid w:val="00C630E4"/>
    <w:rsid w:val="00C677AD"/>
    <w:rsid w:val="00C71BF1"/>
    <w:rsid w:val="00C86735"/>
    <w:rsid w:val="00C87763"/>
    <w:rsid w:val="00C90FCC"/>
    <w:rsid w:val="00C92FBC"/>
    <w:rsid w:val="00C93B63"/>
    <w:rsid w:val="00C950C0"/>
    <w:rsid w:val="00C96347"/>
    <w:rsid w:val="00CA2B84"/>
    <w:rsid w:val="00CA5BAF"/>
    <w:rsid w:val="00CA6F9E"/>
    <w:rsid w:val="00CA7B2C"/>
    <w:rsid w:val="00CB5AB4"/>
    <w:rsid w:val="00CB70D1"/>
    <w:rsid w:val="00CB7F83"/>
    <w:rsid w:val="00CC0E81"/>
    <w:rsid w:val="00CC2BB8"/>
    <w:rsid w:val="00CC7DA2"/>
    <w:rsid w:val="00CD328A"/>
    <w:rsid w:val="00CD34EA"/>
    <w:rsid w:val="00CD3B68"/>
    <w:rsid w:val="00CD60D6"/>
    <w:rsid w:val="00CD6E09"/>
    <w:rsid w:val="00CD7D22"/>
    <w:rsid w:val="00CD7FF3"/>
    <w:rsid w:val="00CE10DF"/>
    <w:rsid w:val="00CE228A"/>
    <w:rsid w:val="00CE3976"/>
    <w:rsid w:val="00CE42E1"/>
    <w:rsid w:val="00CE514C"/>
    <w:rsid w:val="00CE5935"/>
    <w:rsid w:val="00CF7DE6"/>
    <w:rsid w:val="00CF7F75"/>
    <w:rsid w:val="00D00E02"/>
    <w:rsid w:val="00D01868"/>
    <w:rsid w:val="00D02869"/>
    <w:rsid w:val="00D04075"/>
    <w:rsid w:val="00D06000"/>
    <w:rsid w:val="00D10416"/>
    <w:rsid w:val="00D10EE8"/>
    <w:rsid w:val="00D1159A"/>
    <w:rsid w:val="00D11833"/>
    <w:rsid w:val="00D11F73"/>
    <w:rsid w:val="00D138B9"/>
    <w:rsid w:val="00D14C9D"/>
    <w:rsid w:val="00D17924"/>
    <w:rsid w:val="00D2024D"/>
    <w:rsid w:val="00D23954"/>
    <w:rsid w:val="00D246AD"/>
    <w:rsid w:val="00D254AC"/>
    <w:rsid w:val="00D26898"/>
    <w:rsid w:val="00D26E84"/>
    <w:rsid w:val="00D317C5"/>
    <w:rsid w:val="00D34B95"/>
    <w:rsid w:val="00D35DE8"/>
    <w:rsid w:val="00D36E07"/>
    <w:rsid w:val="00D432BF"/>
    <w:rsid w:val="00D5389F"/>
    <w:rsid w:val="00D54C62"/>
    <w:rsid w:val="00D558F8"/>
    <w:rsid w:val="00D56162"/>
    <w:rsid w:val="00D57383"/>
    <w:rsid w:val="00D604E5"/>
    <w:rsid w:val="00D6399C"/>
    <w:rsid w:val="00D6595B"/>
    <w:rsid w:val="00D65C6F"/>
    <w:rsid w:val="00D66195"/>
    <w:rsid w:val="00D667AF"/>
    <w:rsid w:val="00D66DB4"/>
    <w:rsid w:val="00D67646"/>
    <w:rsid w:val="00D679DA"/>
    <w:rsid w:val="00D71A41"/>
    <w:rsid w:val="00D7616A"/>
    <w:rsid w:val="00D76A22"/>
    <w:rsid w:val="00D8196F"/>
    <w:rsid w:val="00D8462C"/>
    <w:rsid w:val="00D850D6"/>
    <w:rsid w:val="00D867C2"/>
    <w:rsid w:val="00D87191"/>
    <w:rsid w:val="00D87D50"/>
    <w:rsid w:val="00D907EB"/>
    <w:rsid w:val="00D91109"/>
    <w:rsid w:val="00D92DA1"/>
    <w:rsid w:val="00D95E06"/>
    <w:rsid w:val="00D96013"/>
    <w:rsid w:val="00DA099D"/>
    <w:rsid w:val="00DA3250"/>
    <w:rsid w:val="00DA3CA0"/>
    <w:rsid w:val="00DA5918"/>
    <w:rsid w:val="00DA68AD"/>
    <w:rsid w:val="00DA7268"/>
    <w:rsid w:val="00DB372C"/>
    <w:rsid w:val="00DB653F"/>
    <w:rsid w:val="00DC3723"/>
    <w:rsid w:val="00DC4156"/>
    <w:rsid w:val="00DD0EC4"/>
    <w:rsid w:val="00DD1DB5"/>
    <w:rsid w:val="00DD33BE"/>
    <w:rsid w:val="00DD56EE"/>
    <w:rsid w:val="00DD5BFA"/>
    <w:rsid w:val="00DE0CF5"/>
    <w:rsid w:val="00DE2DA3"/>
    <w:rsid w:val="00DF46E4"/>
    <w:rsid w:val="00DF5FCE"/>
    <w:rsid w:val="00DF74BA"/>
    <w:rsid w:val="00DF7B06"/>
    <w:rsid w:val="00E013FC"/>
    <w:rsid w:val="00E01A27"/>
    <w:rsid w:val="00E03FFC"/>
    <w:rsid w:val="00E0490D"/>
    <w:rsid w:val="00E077DD"/>
    <w:rsid w:val="00E1210B"/>
    <w:rsid w:val="00E12391"/>
    <w:rsid w:val="00E13709"/>
    <w:rsid w:val="00E148B2"/>
    <w:rsid w:val="00E152F4"/>
    <w:rsid w:val="00E16421"/>
    <w:rsid w:val="00E172F9"/>
    <w:rsid w:val="00E174C1"/>
    <w:rsid w:val="00E21275"/>
    <w:rsid w:val="00E21A30"/>
    <w:rsid w:val="00E23D12"/>
    <w:rsid w:val="00E25091"/>
    <w:rsid w:val="00E265D0"/>
    <w:rsid w:val="00E27321"/>
    <w:rsid w:val="00E30446"/>
    <w:rsid w:val="00E319B8"/>
    <w:rsid w:val="00E31B69"/>
    <w:rsid w:val="00E34AA8"/>
    <w:rsid w:val="00E3728B"/>
    <w:rsid w:val="00E375D4"/>
    <w:rsid w:val="00E37C67"/>
    <w:rsid w:val="00E41E46"/>
    <w:rsid w:val="00E46D53"/>
    <w:rsid w:val="00E4705E"/>
    <w:rsid w:val="00E47071"/>
    <w:rsid w:val="00E47FB3"/>
    <w:rsid w:val="00E52488"/>
    <w:rsid w:val="00E550C6"/>
    <w:rsid w:val="00E55E13"/>
    <w:rsid w:val="00E569BF"/>
    <w:rsid w:val="00E57CA1"/>
    <w:rsid w:val="00E60160"/>
    <w:rsid w:val="00E61E69"/>
    <w:rsid w:val="00E6553F"/>
    <w:rsid w:val="00E65A3C"/>
    <w:rsid w:val="00E717C5"/>
    <w:rsid w:val="00E73033"/>
    <w:rsid w:val="00E7399B"/>
    <w:rsid w:val="00E77D2A"/>
    <w:rsid w:val="00E8176B"/>
    <w:rsid w:val="00E81E6E"/>
    <w:rsid w:val="00E83B4A"/>
    <w:rsid w:val="00E85D88"/>
    <w:rsid w:val="00E91109"/>
    <w:rsid w:val="00E93EC5"/>
    <w:rsid w:val="00E944A4"/>
    <w:rsid w:val="00E97100"/>
    <w:rsid w:val="00EA21C3"/>
    <w:rsid w:val="00EA3A8F"/>
    <w:rsid w:val="00EA40C4"/>
    <w:rsid w:val="00EA5CA2"/>
    <w:rsid w:val="00EA625E"/>
    <w:rsid w:val="00EA7421"/>
    <w:rsid w:val="00EB044C"/>
    <w:rsid w:val="00EB4C0F"/>
    <w:rsid w:val="00EB5942"/>
    <w:rsid w:val="00EB7155"/>
    <w:rsid w:val="00EC1040"/>
    <w:rsid w:val="00ED0B46"/>
    <w:rsid w:val="00ED1CE8"/>
    <w:rsid w:val="00ED1F88"/>
    <w:rsid w:val="00ED396F"/>
    <w:rsid w:val="00ED62CE"/>
    <w:rsid w:val="00ED6F2A"/>
    <w:rsid w:val="00ED7C4D"/>
    <w:rsid w:val="00EE0BAB"/>
    <w:rsid w:val="00EE3714"/>
    <w:rsid w:val="00EE61E4"/>
    <w:rsid w:val="00EF1A3E"/>
    <w:rsid w:val="00EF40DB"/>
    <w:rsid w:val="00EF635C"/>
    <w:rsid w:val="00F00343"/>
    <w:rsid w:val="00F06018"/>
    <w:rsid w:val="00F0656F"/>
    <w:rsid w:val="00F14195"/>
    <w:rsid w:val="00F16A59"/>
    <w:rsid w:val="00F1701E"/>
    <w:rsid w:val="00F2164E"/>
    <w:rsid w:val="00F26359"/>
    <w:rsid w:val="00F31ACB"/>
    <w:rsid w:val="00F33EB6"/>
    <w:rsid w:val="00F40F2A"/>
    <w:rsid w:val="00F44478"/>
    <w:rsid w:val="00F510C0"/>
    <w:rsid w:val="00F52232"/>
    <w:rsid w:val="00F5239E"/>
    <w:rsid w:val="00F533BD"/>
    <w:rsid w:val="00F53747"/>
    <w:rsid w:val="00F54737"/>
    <w:rsid w:val="00F61387"/>
    <w:rsid w:val="00F614FF"/>
    <w:rsid w:val="00F6261F"/>
    <w:rsid w:val="00F6664E"/>
    <w:rsid w:val="00F66C5F"/>
    <w:rsid w:val="00F67080"/>
    <w:rsid w:val="00F673B5"/>
    <w:rsid w:val="00F67B85"/>
    <w:rsid w:val="00F712DD"/>
    <w:rsid w:val="00F72E7E"/>
    <w:rsid w:val="00F8045E"/>
    <w:rsid w:val="00F80A81"/>
    <w:rsid w:val="00F8103E"/>
    <w:rsid w:val="00F81A4D"/>
    <w:rsid w:val="00F81B33"/>
    <w:rsid w:val="00F833F2"/>
    <w:rsid w:val="00F852A3"/>
    <w:rsid w:val="00F854B9"/>
    <w:rsid w:val="00F86B17"/>
    <w:rsid w:val="00F86D02"/>
    <w:rsid w:val="00F92801"/>
    <w:rsid w:val="00F92B83"/>
    <w:rsid w:val="00F93C00"/>
    <w:rsid w:val="00F9694D"/>
    <w:rsid w:val="00F96D62"/>
    <w:rsid w:val="00FA1FC4"/>
    <w:rsid w:val="00FA251E"/>
    <w:rsid w:val="00FA2541"/>
    <w:rsid w:val="00FA347B"/>
    <w:rsid w:val="00FA4435"/>
    <w:rsid w:val="00FA7286"/>
    <w:rsid w:val="00FA75FF"/>
    <w:rsid w:val="00FB0393"/>
    <w:rsid w:val="00FB46EC"/>
    <w:rsid w:val="00FB51FC"/>
    <w:rsid w:val="00FB5D8B"/>
    <w:rsid w:val="00FB76EB"/>
    <w:rsid w:val="00FC0968"/>
    <w:rsid w:val="00FC176F"/>
    <w:rsid w:val="00FC1857"/>
    <w:rsid w:val="00FC6598"/>
    <w:rsid w:val="00FD21D7"/>
    <w:rsid w:val="00FD5DBE"/>
    <w:rsid w:val="00FE2573"/>
    <w:rsid w:val="00FE4D5E"/>
    <w:rsid w:val="00FE6687"/>
    <w:rsid w:val="00FF0230"/>
    <w:rsid w:val="00FF0CE4"/>
    <w:rsid w:val="00FF18E5"/>
    <w:rsid w:val="00FF1E13"/>
    <w:rsid w:val="00FF34FE"/>
    <w:rsid w:val="00FF4744"/>
    <w:rsid w:val="00FF5111"/>
    <w:rsid w:val="00FF5D02"/>
    <w:rsid w:val="01941B2A"/>
    <w:rsid w:val="01A724F5"/>
    <w:rsid w:val="01DA50A4"/>
    <w:rsid w:val="025865F2"/>
    <w:rsid w:val="03310286"/>
    <w:rsid w:val="039263B1"/>
    <w:rsid w:val="04B005BD"/>
    <w:rsid w:val="04BC1B97"/>
    <w:rsid w:val="056B2EDE"/>
    <w:rsid w:val="05E4497F"/>
    <w:rsid w:val="06CF4D55"/>
    <w:rsid w:val="08257C2A"/>
    <w:rsid w:val="09DC2A3C"/>
    <w:rsid w:val="0C5322AF"/>
    <w:rsid w:val="0CC36358"/>
    <w:rsid w:val="0D5D5C62"/>
    <w:rsid w:val="0D9773F4"/>
    <w:rsid w:val="0E007FA7"/>
    <w:rsid w:val="0E1A69C2"/>
    <w:rsid w:val="0F3268A6"/>
    <w:rsid w:val="10701ED5"/>
    <w:rsid w:val="10D02770"/>
    <w:rsid w:val="114D2C31"/>
    <w:rsid w:val="11500768"/>
    <w:rsid w:val="11BE0BB7"/>
    <w:rsid w:val="158C3617"/>
    <w:rsid w:val="160668EC"/>
    <w:rsid w:val="1645466A"/>
    <w:rsid w:val="171F530B"/>
    <w:rsid w:val="18A20D57"/>
    <w:rsid w:val="18C030CD"/>
    <w:rsid w:val="197C4A97"/>
    <w:rsid w:val="199A1283"/>
    <w:rsid w:val="19A54CB4"/>
    <w:rsid w:val="19F7757F"/>
    <w:rsid w:val="1A775879"/>
    <w:rsid w:val="1AA744CA"/>
    <w:rsid w:val="1ADE1C37"/>
    <w:rsid w:val="1BF427E7"/>
    <w:rsid w:val="1CA44F83"/>
    <w:rsid w:val="1DEC3360"/>
    <w:rsid w:val="1ECB3BB2"/>
    <w:rsid w:val="1EFF0597"/>
    <w:rsid w:val="1F1F114D"/>
    <w:rsid w:val="1FC7654F"/>
    <w:rsid w:val="20421816"/>
    <w:rsid w:val="21412E71"/>
    <w:rsid w:val="219C070F"/>
    <w:rsid w:val="219C696C"/>
    <w:rsid w:val="21DE49FA"/>
    <w:rsid w:val="23414D89"/>
    <w:rsid w:val="23C5481B"/>
    <w:rsid w:val="245D2BC4"/>
    <w:rsid w:val="26BF26A7"/>
    <w:rsid w:val="270F7FDC"/>
    <w:rsid w:val="283C34D4"/>
    <w:rsid w:val="2871142A"/>
    <w:rsid w:val="28E8507C"/>
    <w:rsid w:val="28F038CA"/>
    <w:rsid w:val="28FD65D9"/>
    <w:rsid w:val="294F6F4A"/>
    <w:rsid w:val="29707888"/>
    <w:rsid w:val="2A0C0637"/>
    <w:rsid w:val="2AA641A5"/>
    <w:rsid w:val="2B1D2F9D"/>
    <w:rsid w:val="2C580067"/>
    <w:rsid w:val="2D114FD3"/>
    <w:rsid w:val="2D385C8B"/>
    <w:rsid w:val="2D6B0368"/>
    <w:rsid w:val="2E0F151E"/>
    <w:rsid w:val="2EB13BB6"/>
    <w:rsid w:val="2FC517CD"/>
    <w:rsid w:val="304F3B39"/>
    <w:rsid w:val="308A7AA5"/>
    <w:rsid w:val="309806C9"/>
    <w:rsid w:val="30BF46D5"/>
    <w:rsid w:val="32907E2D"/>
    <w:rsid w:val="331A492F"/>
    <w:rsid w:val="33812DAA"/>
    <w:rsid w:val="34236FFC"/>
    <w:rsid w:val="34A44AE1"/>
    <w:rsid w:val="35FC767E"/>
    <w:rsid w:val="375677B0"/>
    <w:rsid w:val="386E5D9A"/>
    <w:rsid w:val="386F602E"/>
    <w:rsid w:val="38C34F9E"/>
    <w:rsid w:val="391C75B6"/>
    <w:rsid w:val="399B77ED"/>
    <w:rsid w:val="39B51B57"/>
    <w:rsid w:val="3A2E1C89"/>
    <w:rsid w:val="3A4F5E27"/>
    <w:rsid w:val="3A4F5E61"/>
    <w:rsid w:val="3B6A502B"/>
    <w:rsid w:val="3B8035C9"/>
    <w:rsid w:val="3D211A22"/>
    <w:rsid w:val="3D9C58A5"/>
    <w:rsid w:val="3EBB230F"/>
    <w:rsid w:val="3EDE233E"/>
    <w:rsid w:val="3EFB4F85"/>
    <w:rsid w:val="3F3E418E"/>
    <w:rsid w:val="40211C98"/>
    <w:rsid w:val="40E674B6"/>
    <w:rsid w:val="41397111"/>
    <w:rsid w:val="41EF187E"/>
    <w:rsid w:val="43256035"/>
    <w:rsid w:val="43892AAC"/>
    <w:rsid w:val="43DA6932"/>
    <w:rsid w:val="4450494A"/>
    <w:rsid w:val="44E07993"/>
    <w:rsid w:val="45867ADE"/>
    <w:rsid w:val="46346D6A"/>
    <w:rsid w:val="479678EF"/>
    <w:rsid w:val="484A07BC"/>
    <w:rsid w:val="498C65A4"/>
    <w:rsid w:val="49A93E3D"/>
    <w:rsid w:val="4A4023BA"/>
    <w:rsid w:val="4A496B6E"/>
    <w:rsid w:val="4B171C22"/>
    <w:rsid w:val="4B275F43"/>
    <w:rsid w:val="4BAF28EF"/>
    <w:rsid w:val="4C636EA7"/>
    <w:rsid w:val="4CE053D3"/>
    <w:rsid w:val="4DA031BC"/>
    <w:rsid w:val="4FFD1D38"/>
    <w:rsid w:val="504C100F"/>
    <w:rsid w:val="518554B5"/>
    <w:rsid w:val="518733CE"/>
    <w:rsid w:val="51B4095B"/>
    <w:rsid w:val="521F0785"/>
    <w:rsid w:val="523121F8"/>
    <w:rsid w:val="54A203B1"/>
    <w:rsid w:val="54B73A0D"/>
    <w:rsid w:val="557C13C8"/>
    <w:rsid w:val="563B2900"/>
    <w:rsid w:val="566B20FB"/>
    <w:rsid w:val="56930F3F"/>
    <w:rsid w:val="56C84BD5"/>
    <w:rsid w:val="57472F55"/>
    <w:rsid w:val="57571597"/>
    <w:rsid w:val="577A11C2"/>
    <w:rsid w:val="57A05D19"/>
    <w:rsid w:val="57AF7CEC"/>
    <w:rsid w:val="57F50907"/>
    <w:rsid w:val="58C53625"/>
    <w:rsid w:val="58E07993"/>
    <w:rsid w:val="59196FD9"/>
    <w:rsid w:val="592771FB"/>
    <w:rsid w:val="59D10025"/>
    <w:rsid w:val="5A6E30B6"/>
    <w:rsid w:val="5B2575AA"/>
    <w:rsid w:val="5B4113E0"/>
    <w:rsid w:val="5B5E5A09"/>
    <w:rsid w:val="5C620BCF"/>
    <w:rsid w:val="5C8400C2"/>
    <w:rsid w:val="5C921061"/>
    <w:rsid w:val="5CDE4AB7"/>
    <w:rsid w:val="5DEA0A1D"/>
    <w:rsid w:val="5E1F2891"/>
    <w:rsid w:val="5F2F4763"/>
    <w:rsid w:val="5F4D3247"/>
    <w:rsid w:val="5FC56404"/>
    <w:rsid w:val="5FC9423C"/>
    <w:rsid w:val="60073401"/>
    <w:rsid w:val="60D8693D"/>
    <w:rsid w:val="61432339"/>
    <w:rsid w:val="61757DDB"/>
    <w:rsid w:val="619412D2"/>
    <w:rsid w:val="61F21F72"/>
    <w:rsid w:val="627B7426"/>
    <w:rsid w:val="63434D4E"/>
    <w:rsid w:val="64202111"/>
    <w:rsid w:val="648A79B5"/>
    <w:rsid w:val="64B035EC"/>
    <w:rsid w:val="65137E7F"/>
    <w:rsid w:val="652A2240"/>
    <w:rsid w:val="65345C5E"/>
    <w:rsid w:val="6636050C"/>
    <w:rsid w:val="66743618"/>
    <w:rsid w:val="66C0707C"/>
    <w:rsid w:val="66EF0F19"/>
    <w:rsid w:val="68230CC0"/>
    <w:rsid w:val="68A84295"/>
    <w:rsid w:val="68BD6D32"/>
    <w:rsid w:val="69A41F4C"/>
    <w:rsid w:val="6A2F0AD2"/>
    <w:rsid w:val="6ABC2CEE"/>
    <w:rsid w:val="6BC86E76"/>
    <w:rsid w:val="6BE563E6"/>
    <w:rsid w:val="6C302776"/>
    <w:rsid w:val="6E1901FF"/>
    <w:rsid w:val="6EF81613"/>
    <w:rsid w:val="6F024484"/>
    <w:rsid w:val="6FC91EF0"/>
    <w:rsid w:val="70173D1F"/>
    <w:rsid w:val="70A70FE3"/>
    <w:rsid w:val="712E0923"/>
    <w:rsid w:val="7163133A"/>
    <w:rsid w:val="717B6D1F"/>
    <w:rsid w:val="71F64B04"/>
    <w:rsid w:val="732E76DC"/>
    <w:rsid w:val="7382327B"/>
    <w:rsid w:val="743F1065"/>
    <w:rsid w:val="746F0CD6"/>
    <w:rsid w:val="755A65E2"/>
    <w:rsid w:val="76BA3033"/>
    <w:rsid w:val="76C97D25"/>
    <w:rsid w:val="76E411A0"/>
    <w:rsid w:val="770F3795"/>
    <w:rsid w:val="77FA0C3A"/>
    <w:rsid w:val="78095789"/>
    <w:rsid w:val="78286979"/>
    <w:rsid w:val="78E5086B"/>
    <w:rsid w:val="796730F3"/>
    <w:rsid w:val="79A74350"/>
    <w:rsid w:val="7B1C7F7B"/>
    <w:rsid w:val="7B406135"/>
    <w:rsid w:val="7C14484A"/>
    <w:rsid w:val="7C3C464F"/>
    <w:rsid w:val="7C555EAA"/>
    <w:rsid w:val="7D0D0F0B"/>
    <w:rsid w:val="7E3F770A"/>
    <w:rsid w:val="7E83714E"/>
    <w:rsid w:val="7EEB0AF6"/>
    <w:rsid w:val="7F08007C"/>
    <w:rsid w:val="7F4F2DAD"/>
    <w:rsid w:val="7FAF3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spacing w:line="360" w:lineRule="auto"/>
      <w:ind w:firstLine="200" w:firstLineChars="200"/>
    </w:pPr>
    <w:rPr>
      <w:rFonts w:ascii="宋体" w:hAnsi="宋体" w:eastAsia="仿宋" w:cs="宋体"/>
      <w:color w:val="000000" w:themeColor="text1"/>
      <w:sz w:val="28"/>
      <w:szCs w:val="24"/>
      <w:lang w:val="en-US" w:eastAsia="zh-CN" w:bidi="ar-SA"/>
      <w14:textFill>
        <w14:solidFill>
          <w14:schemeClr w14:val="tx1"/>
        </w14:solidFill>
      </w14:textFill>
    </w:rPr>
  </w:style>
  <w:style w:type="paragraph" w:styleId="3">
    <w:name w:val="heading 1"/>
    <w:basedOn w:val="1"/>
    <w:next w:val="1"/>
    <w:link w:val="31"/>
    <w:autoRedefine/>
    <w:qFormat/>
    <w:uiPriority w:val="9"/>
    <w:pPr>
      <w:keepNext/>
      <w:keepLines/>
      <w:spacing w:before="120" w:after="120"/>
      <w:outlineLvl w:val="0"/>
    </w:pPr>
    <w:rPr>
      <w:b/>
      <w:bCs/>
      <w:kern w:val="44"/>
      <w:sz w:val="32"/>
      <w:szCs w:val="44"/>
    </w:rPr>
  </w:style>
  <w:style w:type="paragraph" w:styleId="4">
    <w:name w:val="heading 2"/>
    <w:basedOn w:val="1"/>
    <w:next w:val="1"/>
    <w:link w:val="32"/>
    <w:autoRedefine/>
    <w:unhideWhenUsed/>
    <w:qFormat/>
    <w:uiPriority w:val="9"/>
    <w:pPr>
      <w:keepNext/>
      <w:keepLines/>
      <w:spacing w:before="120" w:after="120"/>
      <w:outlineLvl w:val="1"/>
    </w:pPr>
    <w:rPr>
      <w:rFonts w:asciiTheme="majorHAnsi" w:hAnsiTheme="majorHAnsi" w:eastAsiaTheme="majorEastAsia" w:cstheme="majorBidi"/>
      <w:b/>
      <w:bCs/>
      <w:sz w:val="32"/>
      <w:szCs w:val="32"/>
    </w:rPr>
  </w:style>
  <w:style w:type="paragraph" w:styleId="2">
    <w:name w:val="heading 3"/>
    <w:basedOn w:val="1"/>
    <w:next w:val="1"/>
    <w:autoRedefine/>
    <w:qFormat/>
    <w:uiPriority w:val="0"/>
    <w:pPr>
      <w:keepNext/>
      <w:keepLines/>
      <w:spacing w:before="156" w:beforeLines="50" w:after="156" w:afterLines="50"/>
      <w:ind w:firstLine="643"/>
      <w:outlineLvl w:val="2"/>
    </w:pPr>
    <w:rPr>
      <w:rFonts w:eastAsia="仿宋_GB2312"/>
      <w:b/>
      <w:sz w:val="32"/>
    </w:rPr>
  </w:style>
  <w:style w:type="paragraph" w:styleId="5">
    <w:name w:val="heading 4"/>
    <w:basedOn w:val="1"/>
    <w:next w:val="1"/>
    <w:autoRedefine/>
    <w:qFormat/>
    <w:uiPriority w:val="9"/>
    <w:pPr>
      <w:keepNext/>
      <w:keepLines/>
      <w:spacing w:before="50" w:beforeLines="50" w:after="50" w:afterLines="50"/>
      <w:ind w:firstLine="723"/>
      <w:outlineLvl w:val="3"/>
    </w:pPr>
    <w:rPr>
      <w:rFonts w:ascii="仿宋" w:hAnsi="Calibri Light"/>
      <w:b/>
      <w:bCs/>
      <w:sz w:val="32"/>
      <w:szCs w:val="28"/>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99"/>
    <w:pPr>
      <w:ind w:firstLine="420"/>
    </w:pPr>
    <w:rPr>
      <w:rFonts w:ascii="仿宋_GB2312" w:hAnsi="仿宋_GB2312"/>
    </w:rPr>
  </w:style>
  <w:style w:type="paragraph" w:styleId="7">
    <w:name w:val="annotation text"/>
    <w:basedOn w:val="1"/>
    <w:autoRedefine/>
    <w:semiHidden/>
    <w:unhideWhenUsed/>
    <w:qFormat/>
    <w:uiPriority w:val="99"/>
  </w:style>
  <w:style w:type="paragraph" w:styleId="8">
    <w:name w:val="Body Text"/>
    <w:basedOn w:val="1"/>
    <w:link w:val="38"/>
    <w:autoRedefine/>
    <w:unhideWhenUsed/>
    <w:qFormat/>
    <w:uiPriority w:val="0"/>
    <w:pPr>
      <w:spacing w:after="120"/>
    </w:pPr>
    <w:rPr>
      <w:rFonts w:ascii="Calibri" w:hAnsi="Calibri" w:eastAsia="宋体" w:cs="Times New Roman"/>
    </w:rPr>
  </w:style>
  <w:style w:type="paragraph" w:styleId="9">
    <w:name w:val="toc 3"/>
    <w:basedOn w:val="1"/>
    <w:next w:val="1"/>
    <w:autoRedefine/>
    <w:semiHidden/>
    <w:unhideWhenUsed/>
    <w:qFormat/>
    <w:uiPriority w:val="39"/>
    <w:pPr>
      <w:ind w:left="840" w:leftChars="400"/>
    </w:pPr>
    <w:rPr>
      <w:sz w:val="24"/>
    </w:rPr>
  </w:style>
  <w:style w:type="paragraph" w:styleId="10">
    <w:name w:val="Date"/>
    <w:basedOn w:val="1"/>
    <w:next w:val="1"/>
    <w:link w:val="34"/>
    <w:autoRedefine/>
    <w:semiHidden/>
    <w:unhideWhenUsed/>
    <w:qFormat/>
    <w:uiPriority w:val="99"/>
    <w:pPr>
      <w:ind w:left="100" w:leftChars="2500"/>
    </w:pPr>
  </w:style>
  <w:style w:type="paragraph" w:styleId="11">
    <w:name w:val="endnote text"/>
    <w:basedOn w:val="1"/>
    <w:link w:val="35"/>
    <w:autoRedefine/>
    <w:semiHidden/>
    <w:unhideWhenUsed/>
    <w:qFormat/>
    <w:uiPriority w:val="99"/>
    <w:pPr>
      <w:snapToGrid w:val="0"/>
    </w:pPr>
  </w:style>
  <w:style w:type="paragraph" w:styleId="12">
    <w:name w:val="Balloon Text"/>
    <w:basedOn w:val="1"/>
    <w:link w:val="28"/>
    <w:autoRedefine/>
    <w:semiHidden/>
    <w:unhideWhenUsed/>
    <w:qFormat/>
    <w:uiPriority w:val="99"/>
    <w:rPr>
      <w:sz w:val="18"/>
      <w:szCs w:val="18"/>
    </w:rPr>
  </w:style>
  <w:style w:type="paragraph" w:styleId="13">
    <w:name w:val="footer"/>
    <w:basedOn w:val="1"/>
    <w:link w:val="30"/>
    <w:autoRedefine/>
    <w:unhideWhenUsed/>
    <w:qFormat/>
    <w:uiPriority w:val="99"/>
    <w:pPr>
      <w:tabs>
        <w:tab w:val="center" w:pos="4153"/>
        <w:tab w:val="right" w:pos="8306"/>
      </w:tabs>
      <w:snapToGrid w:val="0"/>
    </w:pPr>
    <w:rPr>
      <w:sz w:val="18"/>
      <w:szCs w:val="18"/>
    </w:rPr>
  </w:style>
  <w:style w:type="paragraph" w:styleId="14">
    <w:name w:val="header"/>
    <w:basedOn w:val="1"/>
    <w:next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footnote text"/>
    <w:basedOn w:val="1"/>
    <w:link w:val="36"/>
    <w:autoRedefine/>
    <w:unhideWhenUsed/>
    <w:qFormat/>
    <w:uiPriority w:val="99"/>
    <w:pPr>
      <w:snapToGrid w:val="0"/>
    </w:pPr>
    <w:rPr>
      <w:sz w:val="18"/>
      <w:szCs w:val="18"/>
    </w:rPr>
  </w:style>
  <w:style w:type="paragraph" w:styleId="17">
    <w:name w:val="toc 2"/>
    <w:basedOn w:val="1"/>
    <w:next w:val="1"/>
    <w:autoRedefine/>
    <w:unhideWhenUsed/>
    <w:qFormat/>
    <w:uiPriority w:val="39"/>
    <w:pPr>
      <w:ind w:left="420" w:leftChars="200"/>
    </w:pPr>
    <w:rPr>
      <w:sz w:val="24"/>
    </w:rPr>
  </w:style>
  <w:style w:type="paragraph" w:styleId="18">
    <w:name w:val="Normal (Web)"/>
    <w:basedOn w:val="1"/>
    <w:autoRedefine/>
    <w:semiHidden/>
    <w:unhideWhenUsed/>
    <w:qFormat/>
    <w:uiPriority w:val="99"/>
    <w:pPr>
      <w:spacing w:before="100" w:beforeAutospacing="1" w:after="100" w:afterAutospacing="1"/>
    </w:pPr>
    <w:rPr>
      <w:rFonts w:eastAsia="宋体"/>
      <w:sz w:val="24"/>
    </w:rPr>
  </w:style>
  <w:style w:type="table" w:styleId="20">
    <w:name w:val="Table Grid"/>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endnote reference"/>
    <w:basedOn w:val="21"/>
    <w:autoRedefine/>
    <w:semiHidden/>
    <w:unhideWhenUsed/>
    <w:qFormat/>
    <w:uiPriority w:val="99"/>
    <w:rPr>
      <w:vertAlign w:val="superscript"/>
    </w:rPr>
  </w:style>
  <w:style w:type="character" w:styleId="23">
    <w:name w:val="FollowedHyperlink"/>
    <w:basedOn w:val="21"/>
    <w:autoRedefine/>
    <w:semiHidden/>
    <w:unhideWhenUsed/>
    <w:qFormat/>
    <w:uiPriority w:val="99"/>
    <w:rPr>
      <w:color w:val="800080" w:themeColor="followedHyperlink"/>
      <w:u w:val="single"/>
      <w14:textFill>
        <w14:solidFill>
          <w14:schemeClr w14:val="folHlink"/>
        </w14:solidFill>
      </w14:textFill>
    </w:rPr>
  </w:style>
  <w:style w:type="character" w:styleId="24">
    <w:name w:val="Emphasis"/>
    <w:basedOn w:val="21"/>
    <w:autoRedefine/>
    <w:qFormat/>
    <w:uiPriority w:val="20"/>
    <w:rPr>
      <w:color w:val="F73131"/>
    </w:rPr>
  </w:style>
  <w:style w:type="character" w:styleId="25">
    <w:name w:val="Hyperlink"/>
    <w:basedOn w:val="21"/>
    <w:autoRedefine/>
    <w:unhideWhenUsed/>
    <w:qFormat/>
    <w:uiPriority w:val="99"/>
    <w:rPr>
      <w:color w:val="0000FF" w:themeColor="hyperlink"/>
      <w:u w:val="single"/>
      <w14:textFill>
        <w14:solidFill>
          <w14:schemeClr w14:val="hlink"/>
        </w14:solidFill>
      </w14:textFill>
    </w:rPr>
  </w:style>
  <w:style w:type="character" w:styleId="26">
    <w:name w:val="HTML Cite"/>
    <w:basedOn w:val="21"/>
    <w:autoRedefine/>
    <w:semiHidden/>
    <w:unhideWhenUsed/>
    <w:qFormat/>
    <w:uiPriority w:val="99"/>
    <w:rPr>
      <w:b/>
      <w:bCs/>
      <w:color w:val="008000"/>
      <w:sz w:val="21"/>
      <w:szCs w:val="21"/>
    </w:rPr>
  </w:style>
  <w:style w:type="character" w:styleId="27">
    <w:name w:val="footnote reference"/>
    <w:basedOn w:val="21"/>
    <w:autoRedefine/>
    <w:semiHidden/>
    <w:unhideWhenUsed/>
    <w:qFormat/>
    <w:uiPriority w:val="99"/>
    <w:rPr>
      <w:vertAlign w:val="superscript"/>
    </w:rPr>
  </w:style>
  <w:style w:type="character" w:customStyle="1" w:styleId="28">
    <w:name w:val="批注框文本 Char"/>
    <w:basedOn w:val="21"/>
    <w:link w:val="12"/>
    <w:autoRedefine/>
    <w:semiHidden/>
    <w:qFormat/>
    <w:uiPriority w:val="99"/>
    <w:rPr>
      <w:sz w:val="18"/>
      <w:szCs w:val="18"/>
    </w:rPr>
  </w:style>
  <w:style w:type="character" w:customStyle="1" w:styleId="29">
    <w:name w:val="页眉 Char"/>
    <w:basedOn w:val="21"/>
    <w:link w:val="14"/>
    <w:autoRedefine/>
    <w:qFormat/>
    <w:uiPriority w:val="99"/>
    <w:rPr>
      <w:sz w:val="18"/>
      <w:szCs w:val="18"/>
    </w:rPr>
  </w:style>
  <w:style w:type="character" w:customStyle="1" w:styleId="30">
    <w:name w:val="页脚 Char"/>
    <w:basedOn w:val="21"/>
    <w:link w:val="13"/>
    <w:autoRedefine/>
    <w:qFormat/>
    <w:uiPriority w:val="99"/>
    <w:rPr>
      <w:sz w:val="18"/>
      <w:szCs w:val="18"/>
    </w:rPr>
  </w:style>
  <w:style w:type="character" w:customStyle="1" w:styleId="31">
    <w:name w:val="标题 1 Char"/>
    <w:basedOn w:val="21"/>
    <w:link w:val="3"/>
    <w:autoRedefine/>
    <w:qFormat/>
    <w:uiPriority w:val="9"/>
    <w:rPr>
      <w:b/>
      <w:bCs/>
      <w:kern w:val="44"/>
      <w:sz w:val="32"/>
      <w:szCs w:val="44"/>
    </w:rPr>
  </w:style>
  <w:style w:type="character" w:customStyle="1" w:styleId="32">
    <w:name w:val="标题 2 Char"/>
    <w:basedOn w:val="21"/>
    <w:link w:val="4"/>
    <w:autoRedefine/>
    <w:qFormat/>
    <w:uiPriority w:val="9"/>
    <w:rPr>
      <w:rFonts w:asciiTheme="majorHAnsi" w:hAnsiTheme="majorHAnsi" w:eastAsiaTheme="majorEastAsia" w:cstheme="majorBidi"/>
      <w:b/>
      <w:bCs/>
      <w:sz w:val="32"/>
      <w:szCs w:val="32"/>
    </w:rPr>
  </w:style>
  <w:style w:type="paragraph" w:customStyle="1" w:styleId="33">
    <w:name w:val="TOC 标题1"/>
    <w:basedOn w:val="3"/>
    <w:next w:val="1"/>
    <w:autoRedefine/>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 w:type="character" w:customStyle="1" w:styleId="34">
    <w:name w:val="日期 Char"/>
    <w:basedOn w:val="21"/>
    <w:link w:val="10"/>
    <w:autoRedefine/>
    <w:semiHidden/>
    <w:qFormat/>
    <w:uiPriority w:val="99"/>
  </w:style>
  <w:style w:type="character" w:customStyle="1" w:styleId="35">
    <w:name w:val="尾注文本 Char"/>
    <w:basedOn w:val="21"/>
    <w:link w:val="11"/>
    <w:autoRedefine/>
    <w:semiHidden/>
    <w:qFormat/>
    <w:uiPriority w:val="99"/>
  </w:style>
  <w:style w:type="character" w:customStyle="1" w:styleId="36">
    <w:name w:val="脚注文本 Char"/>
    <w:basedOn w:val="21"/>
    <w:link w:val="16"/>
    <w:autoRedefine/>
    <w:qFormat/>
    <w:uiPriority w:val="99"/>
    <w:rPr>
      <w:sz w:val="18"/>
      <w:szCs w:val="18"/>
    </w:rPr>
  </w:style>
  <w:style w:type="paragraph" w:styleId="37">
    <w:name w:val="List Paragraph"/>
    <w:basedOn w:val="1"/>
    <w:autoRedefine/>
    <w:qFormat/>
    <w:uiPriority w:val="34"/>
    <w:pPr>
      <w:ind w:firstLine="420"/>
    </w:pPr>
  </w:style>
  <w:style w:type="character" w:customStyle="1" w:styleId="38">
    <w:name w:val="正文文本 Char"/>
    <w:basedOn w:val="21"/>
    <w:link w:val="8"/>
    <w:autoRedefine/>
    <w:qFormat/>
    <w:uiPriority w:val="0"/>
    <w:rPr>
      <w:rFonts w:ascii="Calibri" w:hAnsi="Calibri" w:eastAsia="宋体" w:cs="Times New Roman"/>
      <w:szCs w:val="24"/>
    </w:rPr>
  </w:style>
  <w:style w:type="paragraph" w:customStyle="1" w:styleId="39">
    <w:name w:val="Char Char Char Char Char Char Char Char Char Char Char Char Char Char Char Char Char Char Char Char Char Char Char Char Char Char Char Char Char Char Char Char Char"/>
    <w:basedOn w:val="1"/>
    <w:autoRedefine/>
    <w:qFormat/>
    <w:uiPriority w:val="0"/>
    <w:pPr>
      <w:spacing w:after="160" w:line="240" w:lineRule="exact"/>
    </w:pPr>
    <w:rPr>
      <w:rFonts w:ascii="Verdana" w:hAnsi="Verdana" w:eastAsia="宋体" w:cs="Verdana"/>
      <w:sz w:val="24"/>
      <w:lang w:eastAsia="en-US"/>
    </w:rPr>
  </w:style>
  <w:style w:type="character" w:customStyle="1" w:styleId="40">
    <w:name w:val="hover25"/>
    <w:basedOn w:val="21"/>
    <w:autoRedefine/>
    <w:qFormat/>
    <w:uiPriority w:val="0"/>
  </w:style>
  <w:style w:type="character" w:customStyle="1" w:styleId="41">
    <w:name w:val="hover26"/>
    <w:basedOn w:val="21"/>
    <w:autoRedefine/>
    <w:qFormat/>
    <w:uiPriority w:val="0"/>
    <w:rPr>
      <w:color w:val="315EFB"/>
    </w:rPr>
  </w:style>
  <w:style w:type="character" w:customStyle="1" w:styleId="42">
    <w:name w:val="hover27"/>
    <w:basedOn w:val="21"/>
    <w:autoRedefine/>
    <w:qFormat/>
    <w:uiPriority w:val="0"/>
    <w:rPr>
      <w:color w:val="315EFB"/>
    </w:rPr>
  </w:style>
  <w:style w:type="character" w:customStyle="1" w:styleId="43">
    <w:name w:val="c-icon28"/>
    <w:basedOn w:val="21"/>
    <w:autoRedefine/>
    <w:qFormat/>
    <w:uiPriority w:val="0"/>
  </w:style>
  <w:style w:type="character" w:customStyle="1" w:styleId="44">
    <w:name w:val="content-right_8zs401"/>
    <w:basedOn w:val="2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Sheet1!$A$3</c:f>
              <c:strCache>
                <c:ptCount val="1"/>
                <c:pt idx="0">
                  <c:v>地区生产总值GDP（万元）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Sheet1!$D$3:$H$3</c:f>
              <c:numCache>
                <c:formatCode>General</c:formatCode>
                <c:ptCount val="5"/>
                <c:pt idx="0">
                  <c:v>178368</c:v>
                </c:pt>
                <c:pt idx="1">
                  <c:v>199950</c:v>
                </c:pt>
                <c:pt idx="2">
                  <c:v>227628</c:v>
                </c:pt>
                <c:pt idx="3">
                  <c:v>233683</c:v>
                </c:pt>
                <c:pt idx="4">
                  <c:v>238665</c:v>
                </c:pt>
              </c:numCache>
            </c:numRef>
          </c:val>
        </c:ser>
        <c:ser>
          <c:idx val="3"/>
          <c:order val="1"/>
          <c:tx>
            <c:strRef>
              <c:f>Sheet1!$A$4</c:f>
              <c:strCache>
                <c:ptCount val="1"/>
                <c:pt idx="0">
                  <c:v>第一产业增加值（万元）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Sheet1!$D$4:$H$4</c:f>
              <c:numCache>
                <c:formatCode>General</c:formatCode>
                <c:ptCount val="5"/>
                <c:pt idx="0">
                  <c:v>42537</c:v>
                </c:pt>
                <c:pt idx="1">
                  <c:v>28079</c:v>
                </c:pt>
                <c:pt idx="2">
                  <c:v>29709</c:v>
                </c:pt>
                <c:pt idx="3">
                  <c:v>30888</c:v>
                </c:pt>
                <c:pt idx="4">
                  <c:v>40860</c:v>
                </c:pt>
              </c:numCache>
            </c:numRef>
          </c:val>
        </c:ser>
        <c:ser>
          <c:idx val="4"/>
          <c:order val="2"/>
          <c:tx>
            <c:strRef>
              <c:f>Sheet1!$A$5</c:f>
              <c:strCache>
                <c:ptCount val="1"/>
                <c:pt idx="0">
                  <c:v>第二产业增加值（万元）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Sheet1!$D$5:$H$5</c:f>
              <c:numCache>
                <c:formatCode>General</c:formatCode>
                <c:ptCount val="5"/>
                <c:pt idx="0">
                  <c:v>57406</c:v>
                </c:pt>
                <c:pt idx="1">
                  <c:v>94082</c:v>
                </c:pt>
                <c:pt idx="2">
                  <c:v>110766</c:v>
                </c:pt>
                <c:pt idx="3">
                  <c:v>109858</c:v>
                </c:pt>
                <c:pt idx="4">
                  <c:v>103222</c:v>
                </c:pt>
              </c:numCache>
            </c:numRef>
          </c:val>
        </c:ser>
        <c:ser>
          <c:idx val="5"/>
          <c:order val="3"/>
          <c:tx>
            <c:strRef>
              <c:f>Sheet1!$A$6</c:f>
              <c:strCache>
                <c:ptCount val="1"/>
                <c:pt idx="0">
                  <c:v>第三产业增加值（万元）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Sheet1!$D$6:$H$6</c:f>
              <c:numCache>
                <c:formatCode>General</c:formatCode>
                <c:ptCount val="5"/>
                <c:pt idx="0">
                  <c:v>78425</c:v>
                </c:pt>
                <c:pt idx="1">
                  <c:v>77789</c:v>
                </c:pt>
                <c:pt idx="2">
                  <c:v>87153</c:v>
                </c:pt>
                <c:pt idx="3">
                  <c:v>92937</c:v>
                </c:pt>
                <c:pt idx="4">
                  <c:v>94583</c:v>
                </c:pt>
              </c:numCache>
            </c:numRef>
          </c:val>
        </c:ser>
        <c:ser>
          <c:idx val="6"/>
          <c:order val="4"/>
          <c:tx>
            <c:strRef>
              <c:f>Sheet1!$A$7</c:f>
              <c:strCache>
                <c:ptCount val="1"/>
                <c:pt idx="0">
                  <c:v>一般公共预算收入（万元）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Sheet1!$D$7:$H$7</c:f>
              <c:numCache>
                <c:formatCode>General</c:formatCode>
                <c:ptCount val="5"/>
                <c:pt idx="0">
                  <c:v>12490</c:v>
                </c:pt>
                <c:pt idx="1">
                  <c:v>15385</c:v>
                </c:pt>
                <c:pt idx="2">
                  <c:v>20229</c:v>
                </c:pt>
                <c:pt idx="3">
                  <c:v>39870</c:v>
                </c:pt>
                <c:pt idx="4">
                  <c:v>29800</c:v>
                </c:pt>
              </c:numCache>
            </c:numRef>
          </c:val>
        </c:ser>
        <c:ser>
          <c:idx val="7"/>
          <c:order val="5"/>
          <c:tx>
            <c:strRef>
              <c:f>Sheet1!$A$8</c:f>
              <c:strCache>
                <c:ptCount val="1"/>
                <c:pt idx="0">
                  <c:v>固定资产投全社会资额（万元）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Sheet1!$D$8:$H$8</c:f>
              <c:numCache>
                <c:formatCode>General</c:formatCode>
                <c:ptCount val="5"/>
                <c:pt idx="0">
                  <c:v>151145</c:v>
                </c:pt>
                <c:pt idx="1">
                  <c:v>151238</c:v>
                </c:pt>
                <c:pt idx="2">
                  <c:v>142832</c:v>
                </c:pt>
                <c:pt idx="3">
                  <c:v>180791</c:v>
                </c:pt>
                <c:pt idx="4">
                  <c:v>18100</c:v>
                </c:pt>
              </c:numCache>
            </c:numRef>
          </c:val>
        </c:ser>
        <c:ser>
          <c:idx val="0"/>
          <c:order val="6"/>
          <c:tx>
            <c:strRef>
              <c:f>Sheet1!$A$9</c:f>
              <c:strCache>
                <c:ptCount val="1"/>
                <c:pt idx="0">
                  <c:v>社会消费品零售总额（万元）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Sheet1!$D$9:$H$9</c:f>
              <c:numCache>
                <c:formatCode>General</c:formatCode>
                <c:ptCount val="5"/>
                <c:pt idx="0">
                  <c:v>50939</c:v>
                </c:pt>
                <c:pt idx="1">
                  <c:v>49192</c:v>
                </c:pt>
                <c:pt idx="2">
                  <c:v>38260.7</c:v>
                </c:pt>
                <c:pt idx="3">
                  <c:v>35276.4</c:v>
                </c:pt>
                <c:pt idx="4">
                  <c:v>15300</c:v>
                </c:pt>
              </c:numCache>
            </c:numRef>
          </c:val>
        </c:ser>
        <c:dLbls>
          <c:showLegendKey val="0"/>
          <c:showVal val="0"/>
          <c:showCatName val="0"/>
          <c:showSerName val="0"/>
          <c:showPercent val="0"/>
          <c:showBubbleSize val="0"/>
        </c:dLbls>
        <c:gapWidth val="150"/>
        <c:axId val="345672816"/>
        <c:axId val="345671696"/>
      </c:barChart>
      <c:catAx>
        <c:axId val="3456728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345671696"/>
        <c:crosses val="autoZero"/>
        <c:auto val="1"/>
        <c:lblAlgn val="ctr"/>
        <c:lblOffset val="100"/>
        <c:noMultiLvlLbl val="0"/>
      </c:catAx>
      <c:valAx>
        <c:axId val="3456716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345672816"/>
        <c:crosses val="autoZero"/>
        <c:crossBetween val="between"/>
      </c:valAx>
    </c:plotArea>
    <c:legend>
      <c:legendPos val="r"/>
      <c:layout/>
      <c:overlay val="0"/>
      <c:txPr>
        <a:bodyPr rot="0" spcFirstLastPara="0" vertOverflow="ellipsis" vert="horz" wrap="square" anchor="ctr" anchorCtr="1"/>
        <a:lstStyle/>
        <a:p>
          <a:pPr>
            <a:defRPr lang="zh-CN" sz="900" b="0" i="0" u="none" strike="noStrike" kern="1200" baseline="0">
              <a:solidFill>
                <a:srgbClr val="000000"/>
              </a:solidFill>
              <a:latin typeface="+mn-lt"/>
              <a:ea typeface="+mn-ea"/>
              <a:cs typeface="+mn-cs"/>
            </a:defRPr>
          </a:pPr>
        </a:p>
      </c:txPr>
    </c:legend>
    <c:plotVisOnly val="1"/>
    <c:dispBlanksAs val="gap"/>
    <c:showDLblsOverMax val="0"/>
    <c:extLst>
      <c:ext uri="{0b15fc19-7d7d-44ad-8c2d-2c3a37ce22c3}">
        <chartProps xmlns="https://web.wps.cn/et/2018/main" chartId="{3479f472-9444-4017-a71a-e04fa0c0d7f3}"/>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Sheet1!$A$4</c:f>
              <c:strCache>
                <c:ptCount val="1"/>
                <c:pt idx="0">
                  <c:v>第一产业增加值（万元）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Sheet1!$D$4:$H$4</c:f>
              <c:numCache>
                <c:formatCode>General</c:formatCode>
                <c:ptCount val="5"/>
                <c:pt idx="0">
                  <c:v>42537</c:v>
                </c:pt>
                <c:pt idx="1">
                  <c:v>28079</c:v>
                </c:pt>
                <c:pt idx="2">
                  <c:v>29709</c:v>
                </c:pt>
                <c:pt idx="3">
                  <c:v>30888</c:v>
                </c:pt>
                <c:pt idx="4">
                  <c:v>40860</c:v>
                </c:pt>
              </c:numCache>
            </c:numRef>
          </c:val>
        </c:ser>
        <c:dLbls>
          <c:showLegendKey val="0"/>
          <c:showVal val="0"/>
          <c:showCatName val="0"/>
          <c:showSerName val="0"/>
          <c:showPercent val="0"/>
          <c:showBubbleSize val="0"/>
        </c:dLbls>
        <c:gapWidth val="150"/>
        <c:axId val="345681216"/>
        <c:axId val="345671136"/>
      </c:barChart>
      <c:catAx>
        <c:axId val="3456812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5671136"/>
        <c:crosses val="autoZero"/>
        <c:auto val="1"/>
        <c:lblAlgn val="ctr"/>
        <c:lblOffset val="100"/>
        <c:noMultiLvlLbl val="0"/>
      </c:catAx>
      <c:valAx>
        <c:axId val="3456711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568121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d7e66c7-f619-474a-b903-79025a6d77ec}"/>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p>
      </c:txPr>
    </c:title>
    <c:autoTitleDeleted val="0"/>
    <c:plotArea>
      <c:layout/>
      <c:barChart>
        <c:barDir val="col"/>
        <c:grouping val="clustered"/>
        <c:varyColors val="0"/>
        <c:ser>
          <c:idx val="1"/>
          <c:order val="0"/>
          <c:tx>
            <c:strRef>
              <c:f>Sheet1!$A$5</c:f>
              <c:strCache>
                <c:ptCount val="1"/>
                <c:pt idx="0">
                  <c:v>第二产业增加值（万元）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Sheet1!$D$5:$H$5</c:f>
              <c:numCache>
                <c:formatCode>General</c:formatCode>
                <c:ptCount val="5"/>
                <c:pt idx="0">
                  <c:v>57406</c:v>
                </c:pt>
                <c:pt idx="1">
                  <c:v>94082</c:v>
                </c:pt>
                <c:pt idx="2">
                  <c:v>110766</c:v>
                </c:pt>
                <c:pt idx="3">
                  <c:v>109858</c:v>
                </c:pt>
                <c:pt idx="4">
                  <c:v>103222</c:v>
                </c:pt>
              </c:numCache>
            </c:numRef>
          </c:val>
        </c:ser>
        <c:dLbls>
          <c:showLegendKey val="0"/>
          <c:showVal val="0"/>
          <c:showCatName val="0"/>
          <c:showSerName val="0"/>
          <c:showPercent val="0"/>
          <c:showBubbleSize val="0"/>
        </c:dLbls>
        <c:gapWidth val="150"/>
        <c:axId val="345666656"/>
        <c:axId val="345672256"/>
      </c:barChart>
      <c:catAx>
        <c:axId val="3456666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345672256"/>
        <c:crosses val="autoZero"/>
        <c:auto val="1"/>
        <c:lblAlgn val="ctr"/>
        <c:lblOffset val="100"/>
        <c:noMultiLvlLbl val="0"/>
      </c:catAx>
      <c:valAx>
        <c:axId val="3456722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34566665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extLst>
      <c:ext uri="{0b15fc19-7d7d-44ad-8c2d-2c3a37ce22c3}">
        <chartProps xmlns="https://web.wps.cn/et/2018/main" chartId="{e79472ed-9273-42c7-85dd-a300fc7f6e47}"/>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p>
      </c:txPr>
    </c:title>
    <c:autoTitleDeleted val="0"/>
    <c:plotArea>
      <c:layout/>
      <c:barChart>
        <c:barDir val="col"/>
        <c:grouping val="clustered"/>
        <c:varyColors val="0"/>
        <c:ser>
          <c:idx val="2"/>
          <c:order val="0"/>
          <c:tx>
            <c:strRef>
              <c:f>Sheet1!$A$6</c:f>
              <c:strCache>
                <c:ptCount val="1"/>
                <c:pt idx="0">
                  <c:v>第三产业增加值（万元）</c:v>
                </c:pt>
              </c:strCache>
            </c:strRef>
          </c:tx>
          <c:invertIfNegative val="0"/>
          <c:dLbls>
            <c:delete val="1"/>
          </c:dLbls>
          <c:cat>
            <c:numRef>
              <c:f>Sheet1!$D$2:$H$2</c:f>
              <c:numCache>
                <c:formatCode>General</c:formatCode>
                <c:ptCount val="5"/>
                <c:pt idx="0">
                  <c:v>2016</c:v>
                </c:pt>
                <c:pt idx="1">
                  <c:v>2017</c:v>
                </c:pt>
                <c:pt idx="2">
                  <c:v>2018</c:v>
                </c:pt>
                <c:pt idx="3">
                  <c:v>2019</c:v>
                </c:pt>
                <c:pt idx="4">
                  <c:v>2020</c:v>
                </c:pt>
              </c:numCache>
            </c:numRef>
          </c:cat>
          <c:val>
            <c:numRef>
              <c:f>Sheet1!$D$6:$H$6</c:f>
              <c:numCache>
                <c:formatCode>General</c:formatCode>
                <c:ptCount val="5"/>
                <c:pt idx="0">
                  <c:v>78425</c:v>
                </c:pt>
                <c:pt idx="1">
                  <c:v>77789</c:v>
                </c:pt>
                <c:pt idx="2">
                  <c:v>87153</c:v>
                </c:pt>
                <c:pt idx="3">
                  <c:v>92937</c:v>
                </c:pt>
                <c:pt idx="4">
                  <c:v>94583</c:v>
                </c:pt>
              </c:numCache>
            </c:numRef>
          </c:val>
        </c:ser>
        <c:dLbls>
          <c:showLegendKey val="0"/>
          <c:showVal val="0"/>
          <c:showCatName val="0"/>
          <c:showSerName val="0"/>
          <c:showPercent val="0"/>
          <c:showBubbleSize val="0"/>
        </c:dLbls>
        <c:gapWidth val="150"/>
        <c:axId val="345682336"/>
        <c:axId val="345675056"/>
      </c:barChart>
      <c:catAx>
        <c:axId val="3456823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345675056"/>
        <c:crosses val="autoZero"/>
        <c:auto val="1"/>
        <c:lblAlgn val="ctr"/>
        <c:lblOffset val="100"/>
        <c:noMultiLvlLbl val="0"/>
      </c:catAx>
      <c:valAx>
        <c:axId val="3456750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34568233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extLst>
      <c:ext uri="{0b15fc19-7d7d-44ad-8c2d-2c3a37ce22c3}">
        <chartProps xmlns="https://web.wps.cn/et/2018/main" chartId="{ae296529-ab54-4202-a05f-acb8a60044af}"/>
      </c:ext>
    </c:extLst>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18554</Words>
  <Characters>19134</Characters>
  <Lines>431</Lines>
  <Paragraphs>121</Paragraphs>
  <TotalTime>24</TotalTime>
  <ScaleCrop>false</ScaleCrop>
  <LinksUpToDate>false</LinksUpToDate>
  <CharactersWithSpaces>19362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2023-08-23T08:04:00Z</dcterms:created>
  <dc:creator>a</dc:creator>
  <cp:lastModifiedBy>Administrator</cp:lastModifiedBy>
  <cp:lastPrinted>2023-08-26T05:00:00Z</cp:lastPrinted>
  <dcterms:modified xsi:type="dcterms:W3CDTF">2025-03-27T01:30:05Z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E4D0797F058B4E0E982B14C06B91A6AE_13</vt:lpwstr>
  </property>
  <property fmtid="{D5CDD505-2E9C-101B-9397-08002B2CF9AE}" pid="4" name="KSOTemplateDocerSaveRecord">
    <vt:lpwstr>eyJoZGlkIjoiZGZlYjM4YWJjZDgyM2YyYzVlMGFjYmM3MjExMDE5NzcifQ==</vt:lpwstr>
  </property>
</Properties>
</file>